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3DE" w:rsidRDefault="000813DE" w:rsidP="000813DE">
      <w:pPr>
        <w:rPr>
          <w:rFonts w:ascii="仿宋_GB2312" w:eastAsia="仿宋_GB2312" w:hint="eastAsia"/>
          <w:b/>
          <w:bCs/>
          <w:sz w:val="32"/>
        </w:rPr>
      </w:pPr>
      <w:r>
        <w:rPr>
          <w:rFonts w:ascii="仿宋_GB2312" w:eastAsia="仿宋_GB2312" w:hint="eastAsia"/>
          <w:b/>
          <w:bCs/>
          <w:sz w:val="32"/>
        </w:rPr>
        <w:t>附件3：</w:t>
      </w:r>
    </w:p>
    <w:p w:rsidR="000813DE" w:rsidRDefault="000813DE" w:rsidP="000813DE">
      <w:pPr>
        <w:jc w:val="center"/>
        <w:rPr>
          <w:rFonts w:ascii="仿宋_GB2312" w:eastAsia="仿宋_GB2312" w:hint="eastAsia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新能源汽车纯电动续驶里程及专项检验标准</w:t>
      </w:r>
    </w:p>
    <w:p w:rsidR="000813DE" w:rsidRDefault="000813DE" w:rsidP="000813DE">
      <w:pPr>
        <w:rPr>
          <w:rFonts w:ascii="仿宋_GB2312" w:eastAsia="仿宋_GB2312" w:hint="eastAsia"/>
          <w:b/>
          <w:bCs/>
          <w:sz w:val="32"/>
        </w:rPr>
      </w:pPr>
    </w:p>
    <w:p w:rsidR="000813DE" w:rsidRDefault="000813DE" w:rsidP="000813DE">
      <w:pPr>
        <w:ind w:firstLineChars="200" w:firstLine="562"/>
        <w:jc w:val="center"/>
        <w:rPr>
          <w:rFonts w:ascii="仿宋_GB2312" w:eastAsia="仿宋_GB2312" w:hint="eastAsia"/>
          <w:b/>
          <w:sz w:val="28"/>
        </w:rPr>
      </w:pPr>
      <w:r>
        <w:rPr>
          <w:rFonts w:ascii="仿宋_GB2312" w:eastAsia="仿宋_GB2312" w:hint="eastAsia"/>
          <w:b/>
          <w:sz w:val="28"/>
        </w:rPr>
        <w:t>表3.1 新能源汽车纯电动续驶里程标准</w:t>
      </w:r>
    </w:p>
    <w:p w:rsidR="000813DE" w:rsidRDefault="000813DE" w:rsidP="000813DE">
      <w:pPr>
        <w:autoSpaceDE w:val="0"/>
        <w:autoSpaceDN w:val="0"/>
        <w:spacing w:line="360" w:lineRule="auto"/>
        <w:rPr>
          <w:rFonts w:ascii="仿宋_GB2312" w:eastAsia="仿宋_GB2312" w:hint="eastAsia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 xml:space="preserve">                                          </w:t>
      </w:r>
      <w:r>
        <w:rPr>
          <w:rFonts w:ascii="仿宋_GB2312" w:eastAsia="仿宋_GB2312" w:hint="eastAsia"/>
          <w:b/>
          <w:bCs/>
          <w:sz w:val="28"/>
        </w:rPr>
        <w:t>单位：</w:t>
      </w:r>
      <w:proofErr w:type="gramStart"/>
      <w:r>
        <w:rPr>
          <w:rFonts w:ascii="仿宋_GB2312" w:eastAsia="仿宋_GB2312" w:hint="eastAsia"/>
          <w:b/>
          <w:bCs/>
          <w:sz w:val="28"/>
        </w:rPr>
        <w:t>km</w:t>
      </w:r>
      <w:proofErr w:type="gramEnd"/>
    </w:p>
    <w:tbl>
      <w:tblPr>
        <w:tblW w:w="0" w:type="auto"/>
        <w:tblInd w:w="-106" w:type="dxa"/>
        <w:tblLayout w:type="fixed"/>
        <w:tblLook w:val="0000"/>
      </w:tblPr>
      <w:tblGrid>
        <w:gridCol w:w="2291"/>
        <w:gridCol w:w="1309"/>
        <w:gridCol w:w="1118"/>
        <w:gridCol w:w="1146"/>
        <w:gridCol w:w="1282"/>
        <w:gridCol w:w="2072"/>
      </w:tblGrid>
      <w:tr w:rsidR="000813DE" w:rsidTr="006214D2">
        <w:trPr>
          <w:trHeight w:val="965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int="eastAsia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类   别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int="eastAsia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乘用车</w:t>
            </w:r>
          </w:p>
        </w:tc>
        <w:tc>
          <w:tcPr>
            <w:tcW w:w="11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int="eastAsia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客车</w:t>
            </w:r>
          </w:p>
        </w:tc>
        <w:tc>
          <w:tcPr>
            <w:tcW w:w="11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int="eastAsia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货车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int="eastAsia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专用车</w:t>
            </w:r>
          </w:p>
        </w:tc>
        <w:tc>
          <w:tcPr>
            <w:tcW w:w="2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int="eastAsia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测试方法</w:t>
            </w:r>
          </w:p>
        </w:tc>
      </w:tr>
      <w:tr w:rsidR="000813DE" w:rsidTr="006214D2">
        <w:trPr>
          <w:trHeight w:val="1288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int="eastAsia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纯电动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pict>
                <v:line id="Line 2" o:spid="_x0000_s1027" style="position:absolute;left:0;text-align:left;z-index:251658240;mso-position-horizontal-relative:text;mso-position-vertical-relative:text" from="-4.95pt,.25pt" to="58pt,67.75pt"/>
              </w:pict>
            </w:r>
          </w:p>
        </w:tc>
        <w:tc>
          <w:tcPr>
            <w:tcW w:w="11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≥150</w:t>
            </w:r>
          </w:p>
        </w:tc>
        <w:tc>
          <w:tcPr>
            <w:tcW w:w="11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≥80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≥80</w:t>
            </w:r>
          </w:p>
        </w:tc>
        <w:tc>
          <w:tcPr>
            <w:tcW w:w="2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M1、N1类采用工况法，其他</w:t>
            </w:r>
            <w:proofErr w:type="gramStart"/>
            <w:r>
              <w:rPr>
                <w:rFonts w:ascii="仿宋_GB2312" w:eastAsia="仿宋_GB2312" w:hint="eastAsia"/>
              </w:rPr>
              <w:t>暂采用</w:t>
            </w:r>
            <w:proofErr w:type="gramEnd"/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km/h"/>
              </w:smartTagPr>
              <w:r>
                <w:rPr>
                  <w:rFonts w:ascii="仿宋_GB2312" w:eastAsia="仿宋_GB2312" w:hint="eastAsia"/>
                </w:rPr>
                <w:t>40km/h</w:t>
              </w:r>
            </w:smartTag>
            <w:r>
              <w:rPr>
                <w:rFonts w:ascii="仿宋_GB2312" w:eastAsia="仿宋_GB2312" w:hint="eastAsia"/>
              </w:rPr>
              <w:t>等速法。</w:t>
            </w:r>
          </w:p>
        </w:tc>
      </w:tr>
      <w:tr w:rsidR="000813DE" w:rsidTr="006214D2">
        <w:trPr>
          <w:trHeight w:val="833"/>
        </w:trPr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int="eastAsia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插电式（</w:t>
            </w:r>
            <w:proofErr w:type="gramStart"/>
            <w:r>
              <w:rPr>
                <w:rFonts w:ascii="仿宋_GB2312" w:eastAsia="仿宋_GB2312" w:hint="eastAsia"/>
                <w:b/>
                <w:bCs/>
              </w:rPr>
              <w:t>含增程式</w:t>
            </w:r>
            <w:proofErr w:type="gramEnd"/>
            <w:r>
              <w:rPr>
                <w:rFonts w:ascii="仿宋_GB2312" w:eastAsia="仿宋_GB2312" w:hint="eastAsia"/>
                <w:b/>
                <w:bCs/>
              </w:rPr>
              <w:t>）</w:t>
            </w:r>
          </w:p>
          <w:p w:rsidR="000813DE" w:rsidRDefault="000813DE" w:rsidP="006214D2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int="eastAsia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混合动力</w:t>
            </w: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≥50</w:t>
            </w:r>
          </w:p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（工况法）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≥50</w:t>
            </w:r>
          </w:p>
        </w:tc>
        <w:tc>
          <w:tcPr>
            <w:tcW w:w="114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≥50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≥50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M1、N1类采用工况法或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km/h"/>
              </w:smartTagPr>
              <w:r>
                <w:rPr>
                  <w:rFonts w:ascii="仿宋_GB2312" w:eastAsia="仿宋_GB2312" w:hint="eastAsia"/>
                </w:rPr>
                <w:t>60km/h</w:t>
              </w:r>
            </w:smartTag>
            <w:r>
              <w:rPr>
                <w:rFonts w:ascii="仿宋_GB2312" w:eastAsia="仿宋_GB2312" w:hint="eastAsia"/>
              </w:rPr>
              <w:t>等速法，其他</w:t>
            </w:r>
            <w:proofErr w:type="gramStart"/>
            <w:r>
              <w:rPr>
                <w:rFonts w:ascii="仿宋_GB2312" w:eastAsia="仿宋_GB2312" w:hint="eastAsia"/>
              </w:rPr>
              <w:t>暂采用</w:t>
            </w:r>
            <w:proofErr w:type="gramEnd"/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km/h"/>
              </w:smartTagPr>
              <w:r>
                <w:rPr>
                  <w:rFonts w:ascii="仿宋_GB2312" w:eastAsia="仿宋_GB2312" w:hint="eastAsia"/>
                </w:rPr>
                <w:t>40km/h</w:t>
              </w:r>
            </w:smartTag>
            <w:r>
              <w:rPr>
                <w:rFonts w:ascii="仿宋_GB2312" w:eastAsia="仿宋_GB2312" w:hint="eastAsia"/>
              </w:rPr>
              <w:t>等速法。</w:t>
            </w:r>
          </w:p>
        </w:tc>
      </w:tr>
      <w:tr w:rsidR="000813DE" w:rsidTr="006214D2">
        <w:trPr>
          <w:trHeight w:val="832"/>
        </w:trPr>
        <w:tc>
          <w:tcPr>
            <w:tcW w:w="22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int="eastAsia"/>
                <w:b/>
                <w:bCs/>
              </w:rPr>
            </w:pPr>
          </w:p>
        </w:tc>
        <w:tc>
          <w:tcPr>
            <w:tcW w:w="130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≥70</w:t>
            </w:r>
          </w:p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（等速法）</w:t>
            </w:r>
          </w:p>
        </w:tc>
        <w:tc>
          <w:tcPr>
            <w:tcW w:w="1118" w:type="dxa"/>
            <w:vMerge/>
            <w:tcBorders>
              <w:bottom w:val="single" w:sz="4" w:space="0" w:color="auto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</w:p>
        </w:tc>
        <w:tc>
          <w:tcPr>
            <w:tcW w:w="1146" w:type="dxa"/>
            <w:vMerge/>
            <w:tcBorders>
              <w:bottom w:val="single" w:sz="4" w:space="0" w:color="auto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</w:p>
        </w:tc>
        <w:tc>
          <w:tcPr>
            <w:tcW w:w="1282" w:type="dxa"/>
            <w:vMerge/>
            <w:tcBorders>
              <w:bottom w:val="single" w:sz="4" w:space="0" w:color="auto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</w:p>
        </w:tc>
        <w:tc>
          <w:tcPr>
            <w:tcW w:w="2072" w:type="dxa"/>
            <w:vMerge/>
            <w:tcBorders>
              <w:bottom w:val="single" w:sz="4" w:space="0" w:color="auto"/>
              <w:right w:val="single" w:sz="4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</w:p>
        </w:tc>
      </w:tr>
      <w:tr w:rsidR="000813DE" w:rsidTr="006214D2">
        <w:trPr>
          <w:trHeight w:val="1324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jc w:val="center"/>
              <w:rPr>
                <w:rFonts w:ascii="仿宋_GB2312" w:eastAsia="仿宋_GB2312" w:hint="eastAsia"/>
                <w:b/>
                <w:bCs/>
              </w:rPr>
            </w:pPr>
            <w:r>
              <w:rPr>
                <w:rFonts w:ascii="仿宋_GB2312" w:eastAsia="仿宋_GB2312" w:hint="eastAsia"/>
                <w:b/>
                <w:bCs/>
              </w:rPr>
              <w:t>燃料电池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pict>
                <v:line id="Line 3" o:spid="_x0000_s1026" style="position:absolute;left:0;text-align:left;z-index:251658240;mso-position-horizontal-relative:text;mso-position-vertical-relative:text" from="-4.95pt,1.3pt" to="58pt,68.8pt"/>
              </w:pic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≥150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≥200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≥200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E w:val="0"/>
              <w:autoSpaceDN w:val="0"/>
              <w:spacing w:line="360" w:lineRule="auto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M1、N1类采用工况法，其他</w:t>
            </w:r>
            <w:proofErr w:type="gramStart"/>
            <w:r>
              <w:rPr>
                <w:rFonts w:ascii="仿宋_GB2312" w:eastAsia="仿宋_GB2312" w:hint="eastAsia"/>
              </w:rPr>
              <w:t>暂采用</w:t>
            </w:r>
            <w:proofErr w:type="gramEnd"/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km/h"/>
              </w:smartTagPr>
              <w:r>
                <w:rPr>
                  <w:rFonts w:ascii="仿宋_GB2312" w:eastAsia="仿宋_GB2312" w:hint="eastAsia"/>
                </w:rPr>
                <w:t>40km/h</w:t>
              </w:r>
            </w:smartTag>
            <w:r>
              <w:rPr>
                <w:rFonts w:ascii="仿宋_GB2312" w:eastAsia="仿宋_GB2312" w:hint="eastAsia"/>
              </w:rPr>
              <w:t>等速法。</w:t>
            </w:r>
          </w:p>
        </w:tc>
      </w:tr>
    </w:tbl>
    <w:p w:rsidR="000813DE" w:rsidRDefault="000813DE" w:rsidP="000813DE">
      <w:pPr>
        <w:autoSpaceDE w:val="0"/>
        <w:autoSpaceDN w:val="0"/>
        <w:spacing w:line="360" w:lineRule="auto"/>
        <w:ind w:firstLineChars="196" w:firstLine="412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注：1.超级电容、钛酸</w:t>
      </w:r>
      <w:proofErr w:type="gramStart"/>
      <w:r>
        <w:rPr>
          <w:rFonts w:ascii="仿宋_GB2312" w:eastAsia="仿宋_GB2312" w:hint="eastAsia"/>
        </w:rPr>
        <w:t>锂快充纯</w:t>
      </w:r>
      <w:proofErr w:type="gramEnd"/>
      <w:r>
        <w:rPr>
          <w:rFonts w:ascii="仿宋_GB2312" w:eastAsia="仿宋_GB2312" w:hint="eastAsia"/>
        </w:rPr>
        <w:t>电动客车无纯电动续驶里程要求。</w:t>
      </w:r>
    </w:p>
    <w:p w:rsidR="000813DE" w:rsidRDefault="000813DE" w:rsidP="000813DE">
      <w:pPr>
        <w:autoSpaceDE w:val="0"/>
        <w:autoSpaceDN w:val="0"/>
        <w:spacing w:line="360" w:lineRule="auto"/>
        <w:ind w:firstLineChars="196" w:firstLine="412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 xml:space="preserve">    2.M1类是指包括驾驶员座位在内，座位数不超过九座的载客车辆。</w:t>
      </w:r>
    </w:p>
    <w:p w:rsidR="000813DE" w:rsidRDefault="000813DE" w:rsidP="000813DE">
      <w:pPr>
        <w:autoSpaceDE w:val="0"/>
        <w:autoSpaceDN w:val="0"/>
        <w:spacing w:line="360" w:lineRule="auto"/>
        <w:ind w:firstLineChars="441" w:firstLine="926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 xml:space="preserve"> N1类是指最大设计总质量不超过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500"/>
          <w:attr w:name="UnitName" w:val="kg"/>
        </w:smartTagPr>
        <w:r>
          <w:rPr>
            <w:rFonts w:ascii="仿宋_GB2312" w:eastAsia="仿宋_GB2312" w:hint="eastAsia"/>
          </w:rPr>
          <w:t>3500kg</w:t>
        </w:r>
      </w:smartTag>
      <w:r>
        <w:rPr>
          <w:rFonts w:ascii="仿宋_GB2312" w:eastAsia="仿宋_GB2312" w:hint="eastAsia"/>
        </w:rPr>
        <w:t>的载货车辆。</w:t>
      </w:r>
    </w:p>
    <w:p w:rsidR="000813DE" w:rsidRDefault="000813DE" w:rsidP="000813DE">
      <w:pPr>
        <w:ind w:firstLineChars="49" w:firstLine="157"/>
        <w:jc w:val="center"/>
        <w:rPr>
          <w:rFonts w:ascii="仿宋_GB2312" w:eastAsia="仿宋_GB2312" w:hint="eastAsia"/>
          <w:b/>
          <w:bCs/>
          <w:sz w:val="32"/>
          <w:szCs w:val="32"/>
        </w:rPr>
      </w:pPr>
    </w:p>
    <w:p w:rsidR="000813DE" w:rsidRDefault="000813DE" w:rsidP="000813DE">
      <w:pPr>
        <w:ind w:firstLineChars="49" w:firstLine="157"/>
        <w:jc w:val="center"/>
        <w:rPr>
          <w:rFonts w:ascii="仿宋_GB2312" w:eastAsia="仿宋_GB2312" w:hint="eastAsia"/>
          <w:b/>
          <w:bCs/>
          <w:sz w:val="32"/>
          <w:szCs w:val="32"/>
        </w:rPr>
      </w:pPr>
    </w:p>
    <w:p w:rsidR="000813DE" w:rsidRDefault="000813DE" w:rsidP="000813DE">
      <w:pPr>
        <w:ind w:firstLineChars="49" w:firstLine="157"/>
        <w:jc w:val="center"/>
        <w:rPr>
          <w:rFonts w:ascii="仿宋_GB2312" w:eastAsia="仿宋_GB2312" w:hint="eastAsia"/>
          <w:b/>
          <w:bCs/>
          <w:sz w:val="32"/>
          <w:szCs w:val="32"/>
        </w:rPr>
      </w:pPr>
    </w:p>
    <w:p w:rsidR="000813DE" w:rsidRDefault="000813DE" w:rsidP="000813DE">
      <w:pPr>
        <w:ind w:firstLineChars="49" w:firstLine="157"/>
        <w:jc w:val="center"/>
        <w:rPr>
          <w:rFonts w:ascii="仿宋_GB2312" w:eastAsia="仿宋_GB2312" w:hint="eastAsia"/>
          <w:b/>
          <w:bCs/>
          <w:sz w:val="32"/>
          <w:szCs w:val="32"/>
        </w:rPr>
      </w:pPr>
    </w:p>
    <w:p w:rsidR="000813DE" w:rsidRDefault="000813DE" w:rsidP="000813DE">
      <w:pPr>
        <w:ind w:firstLineChars="49" w:firstLine="157"/>
        <w:jc w:val="center"/>
        <w:rPr>
          <w:rFonts w:ascii="仿宋_GB2312" w:eastAsia="仿宋_GB2312" w:hint="eastAsia"/>
          <w:b/>
          <w:bCs/>
          <w:sz w:val="32"/>
          <w:szCs w:val="32"/>
        </w:rPr>
      </w:pPr>
    </w:p>
    <w:p w:rsidR="000813DE" w:rsidRDefault="000813DE" w:rsidP="000813DE">
      <w:pPr>
        <w:ind w:firstLineChars="49" w:firstLine="157"/>
        <w:jc w:val="center"/>
        <w:rPr>
          <w:rFonts w:ascii="仿宋_GB2312" w:eastAsia="仿宋_GB2312" w:hint="eastAsia"/>
          <w:b/>
          <w:bCs/>
          <w:sz w:val="32"/>
          <w:szCs w:val="32"/>
        </w:rPr>
      </w:pPr>
    </w:p>
    <w:p w:rsidR="000813DE" w:rsidRDefault="000813DE" w:rsidP="000813DE">
      <w:pPr>
        <w:jc w:val="center"/>
        <w:rPr>
          <w:rFonts w:ascii="仿宋_GB2312" w:eastAsia="仿宋_GB2312" w:hint="eastAsia"/>
          <w:b/>
          <w:sz w:val="28"/>
        </w:rPr>
      </w:pPr>
      <w:r>
        <w:rPr>
          <w:rFonts w:ascii="仿宋_GB2312" w:eastAsia="仿宋_GB2312" w:hint="eastAsia"/>
          <w:b/>
          <w:sz w:val="28"/>
        </w:rPr>
        <w:lastRenderedPageBreak/>
        <w:t>表3.2 新能源汽车产品专项检验标准目录</w:t>
      </w:r>
    </w:p>
    <w:tbl>
      <w:tblPr>
        <w:tblW w:w="0" w:type="auto"/>
        <w:tblInd w:w="-106" w:type="dxa"/>
        <w:tblLayout w:type="fixed"/>
        <w:tblLook w:val="0000"/>
      </w:tblPr>
      <w:tblGrid>
        <w:gridCol w:w="705"/>
        <w:gridCol w:w="2117"/>
        <w:gridCol w:w="5898"/>
      </w:tblGrid>
      <w:tr w:rsidR="000813DE" w:rsidTr="006214D2">
        <w:trPr>
          <w:cantSplit/>
          <w:trHeight w:hRule="exact" w:val="567"/>
          <w:tblHeader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  <w:b/>
                <w:bCs/>
              </w:rPr>
            </w:pPr>
            <w:r>
              <w:rPr>
                <w:rFonts w:ascii="仿宋_GB2312" w:eastAsia="仿宋_GB2312" w:cs="仿宋" w:hint="eastAsia"/>
                <w:b/>
                <w:bCs/>
              </w:rPr>
              <w:t>序号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  <w:b/>
                <w:bCs/>
              </w:rPr>
            </w:pPr>
            <w:r>
              <w:rPr>
                <w:rFonts w:ascii="仿宋_GB2312" w:eastAsia="仿宋_GB2312" w:cs="仿宋" w:hint="eastAsia"/>
                <w:b/>
                <w:bCs/>
              </w:rPr>
              <w:t>标准编号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  <w:b/>
                <w:bCs/>
              </w:rPr>
            </w:pPr>
            <w:r>
              <w:rPr>
                <w:rFonts w:ascii="仿宋_GB2312" w:eastAsia="仿宋_GB2312" w:cs="仿宋" w:hint="eastAsia"/>
                <w:b/>
                <w:bCs/>
              </w:rPr>
              <w:t>标准名称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4094.2-2005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电动汽车操纵件、指示器及信号装置的标志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18384.1-2001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电动汽车安全要求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第</w:t>
            </w:r>
            <w:r>
              <w:rPr>
                <w:rFonts w:ascii="仿宋_GB2312" w:eastAsia="仿宋_GB2312" w:hint="eastAsia"/>
              </w:rPr>
              <w:t>1</w:t>
            </w:r>
            <w:r>
              <w:rPr>
                <w:rFonts w:ascii="仿宋_GB2312" w:eastAsia="仿宋_GB2312" w:cs="仿宋" w:hint="eastAsia"/>
              </w:rPr>
              <w:t>部分：车载储能装置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18384.2-2001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电动汽车安全要求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第</w:t>
            </w:r>
            <w:r>
              <w:rPr>
                <w:rFonts w:ascii="仿宋_GB2312" w:eastAsia="仿宋_GB2312" w:hint="eastAsia"/>
              </w:rPr>
              <w:t>2</w:t>
            </w:r>
            <w:r>
              <w:rPr>
                <w:rFonts w:ascii="仿宋_GB2312" w:eastAsia="仿宋_GB2312" w:cs="仿宋" w:hint="eastAsia"/>
              </w:rPr>
              <w:t>部分：功能安全和故障防护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18384.3-2001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电动汽车安全要求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第</w:t>
            </w: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 w:cs="仿宋" w:hint="eastAsia"/>
              </w:rPr>
              <w:t>部分：人员触电防护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18385-2005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电动汽车动力性能试验方法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18386-2005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电动汽车能量消耗率和</w:t>
            </w:r>
            <w:proofErr w:type="gramStart"/>
            <w:r>
              <w:rPr>
                <w:rFonts w:ascii="仿宋_GB2312" w:eastAsia="仿宋_GB2312" w:cs="仿宋" w:hint="eastAsia"/>
              </w:rPr>
              <w:t>续驶</w:t>
            </w:r>
            <w:proofErr w:type="gramEnd"/>
            <w:r>
              <w:rPr>
                <w:rFonts w:ascii="仿宋_GB2312" w:eastAsia="仿宋_GB2312" w:cs="仿宋" w:hint="eastAsia"/>
              </w:rPr>
              <w:t>里程试验方法</w:t>
            </w:r>
          </w:p>
        </w:tc>
      </w:tr>
      <w:tr w:rsidR="000813DE" w:rsidTr="006214D2">
        <w:trPr>
          <w:cantSplit/>
          <w:trHeight w:hRule="exact" w:val="841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7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18387-2008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电动车辆的电磁场辐射强度的限值和测量方法宽带</w:t>
            </w:r>
            <w:r>
              <w:rPr>
                <w:rFonts w:ascii="仿宋_GB2312" w:eastAsia="仿宋_GB2312" w:hint="eastAsia"/>
              </w:rPr>
              <w:t xml:space="preserve"> 9kHz-30MHz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18388-2005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电动汽车定型试验规程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18488.1-2006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电动汽车用电机及其控制器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第</w:t>
            </w:r>
            <w:r>
              <w:rPr>
                <w:rFonts w:ascii="仿宋_GB2312" w:eastAsia="仿宋_GB2312" w:hint="eastAsia"/>
              </w:rPr>
              <w:t>1</w:t>
            </w:r>
            <w:r>
              <w:rPr>
                <w:rFonts w:ascii="仿宋_GB2312" w:eastAsia="仿宋_GB2312" w:cs="仿宋" w:hint="eastAsia"/>
              </w:rPr>
              <w:t>部分：技术条件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18488.2-2006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电动汽车用电机及其控制器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第</w:t>
            </w:r>
            <w:r>
              <w:rPr>
                <w:rFonts w:ascii="仿宋_GB2312" w:eastAsia="仿宋_GB2312" w:hint="eastAsia"/>
              </w:rPr>
              <w:t>2</w:t>
            </w:r>
            <w:r>
              <w:rPr>
                <w:rFonts w:ascii="仿宋_GB2312" w:eastAsia="仿宋_GB2312" w:cs="仿宋" w:hint="eastAsia"/>
              </w:rPr>
              <w:t>部分：试验方法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11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19750-2005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混合动力电动汽车定型试验规程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12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19751-2005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混合动力电动汽车安全要求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13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19752-2005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混合动力电动汽车动力性能试验方法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14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19753-2013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轻型混合动力电动汽车能量消耗</w:t>
            </w:r>
            <w:proofErr w:type="gramStart"/>
            <w:r>
              <w:rPr>
                <w:rFonts w:ascii="仿宋_GB2312" w:eastAsia="仿宋_GB2312" w:cs="仿宋" w:hint="eastAsia"/>
              </w:rPr>
              <w:t>量试验</w:t>
            </w:r>
            <w:proofErr w:type="gramEnd"/>
            <w:r>
              <w:rPr>
                <w:rFonts w:ascii="仿宋_GB2312" w:eastAsia="仿宋_GB2312" w:cs="仿宋" w:hint="eastAsia"/>
              </w:rPr>
              <w:t>方法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15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19754-2005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重型混合动力电动汽车能量消耗</w:t>
            </w:r>
            <w:proofErr w:type="gramStart"/>
            <w:r>
              <w:rPr>
                <w:rFonts w:ascii="仿宋_GB2312" w:eastAsia="仿宋_GB2312" w:cs="仿宋" w:hint="eastAsia"/>
              </w:rPr>
              <w:t>量试验</w:t>
            </w:r>
            <w:proofErr w:type="gramEnd"/>
            <w:r>
              <w:rPr>
                <w:rFonts w:ascii="仿宋_GB2312" w:eastAsia="仿宋_GB2312" w:cs="仿宋" w:hint="eastAsia"/>
              </w:rPr>
              <w:t>方法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16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19755-2005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轻型混合动力电动汽车污染物排放测量方法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17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19836-2005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电动汽车用仪表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18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20234.1-2011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电动汽车传导充电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充电连接装置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第</w:t>
            </w:r>
            <w:r>
              <w:rPr>
                <w:rFonts w:ascii="仿宋_GB2312" w:eastAsia="仿宋_GB2312" w:hint="eastAsia"/>
              </w:rPr>
              <w:t>1</w:t>
            </w:r>
            <w:r>
              <w:rPr>
                <w:rFonts w:ascii="仿宋_GB2312" w:eastAsia="仿宋_GB2312" w:cs="仿宋" w:hint="eastAsia"/>
              </w:rPr>
              <w:t>部分：通用要求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19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20234.2-2011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电动汽车传导充电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充电连接装置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第</w:t>
            </w:r>
            <w:r>
              <w:rPr>
                <w:rFonts w:ascii="仿宋_GB2312" w:eastAsia="仿宋_GB2312" w:hint="eastAsia"/>
              </w:rPr>
              <w:t>2</w:t>
            </w:r>
            <w:r>
              <w:rPr>
                <w:rFonts w:ascii="仿宋_GB2312" w:eastAsia="仿宋_GB2312" w:cs="仿宋" w:hint="eastAsia"/>
              </w:rPr>
              <w:t>部分：交流充电接口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20234.3-2011</w:t>
            </w:r>
          </w:p>
        </w:tc>
        <w:tc>
          <w:tcPr>
            <w:tcW w:w="58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电动汽车传导充电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充电连接装置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第</w:t>
            </w:r>
            <w:r>
              <w:rPr>
                <w:rFonts w:ascii="仿宋_GB2312" w:eastAsia="仿宋_GB2312" w:hint="eastAsia"/>
              </w:rPr>
              <w:t>3</w:t>
            </w:r>
            <w:r>
              <w:rPr>
                <w:rFonts w:ascii="仿宋_GB2312" w:eastAsia="仿宋_GB2312" w:cs="仿宋" w:hint="eastAsia"/>
              </w:rPr>
              <w:t>部分：直流充电接口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21*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24347-2009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</w:t>
            </w:r>
            <w:r>
              <w:rPr>
                <w:rFonts w:ascii="仿宋_GB2312" w:eastAsia="仿宋_GB2312" w:hint="eastAsia"/>
              </w:rPr>
              <w:t>DC/DC</w:t>
            </w:r>
            <w:r>
              <w:rPr>
                <w:rFonts w:ascii="仿宋_GB2312" w:eastAsia="仿宋_GB2312" w:cs="仿宋" w:hint="eastAsia"/>
              </w:rPr>
              <w:t>变换器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22*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24549-2009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燃料电池电动汽车安全要求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lastRenderedPageBreak/>
              <w:t>23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24552-2009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电动汽车风窗玻璃除霜除雾系统的性能要求及试验方法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24*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24554-2009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燃料电池发动机性能试验方法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25*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26779-2011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燃料电池电动汽车加氢口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26*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26990-2011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燃料电池电动汽车车载</w:t>
            </w:r>
            <w:proofErr w:type="gramStart"/>
            <w:r>
              <w:rPr>
                <w:rFonts w:ascii="仿宋_GB2312" w:eastAsia="仿宋_GB2312" w:cs="仿宋" w:hint="eastAsia"/>
              </w:rPr>
              <w:t>氢系统</w:t>
            </w:r>
            <w:proofErr w:type="gramEnd"/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技术条件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27*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26991-2011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燃料电池电动汽车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最高车速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试验方法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28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27930-2011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电动汽车非车载传导式充电机与电池管理系统之间的通信协议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29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28382-2012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纯电动乘用车技术条件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30*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29126-2012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燃料电池电动汽车车载</w:t>
            </w:r>
            <w:proofErr w:type="gramStart"/>
            <w:r>
              <w:rPr>
                <w:rFonts w:ascii="仿宋_GB2312" w:eastAsia="仿宋_GB2312" w:cs="仿宋" w:hint="eastAsia"/>
              </w:rPr>
              <w:t>氢系统</w:t>
            </w:r>
            <w:proofErr w:type="gramEnd"/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试验方法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31*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GB/T 29307-2012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电动汽车用驱动电机系统可靠性试验方法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32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GB/Z 18333.2-2001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电动道路车辆用锌空气蓄电池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33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QC/T 741-2006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车用超级电容器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34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QC/T 743-2006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电动汽车用锂离子蓄电池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35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QC/T 744-2006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电动汽车用金属氢化物镍蓄电池</w:t>
            </w:r>
            <w:bookmarkStart w:id="0" w:name="_GoBack"/>
            <w:bookmarkEnd w:id="0"/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36*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QC/T 838-2010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超级电容电动城市客车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37*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QC/T 895-2011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电动汽车用传导式车载充电机</w:t>
            </w:r>
          </w:p>
        </w:tc>
      </w:tr>
      <w:tr w:rsidR="000813DE" w:rsidTr="006214D2">
        <w:trPr>
          <w:cantSplit/>
          <w:trHeight w:hRule="exact" w:val="567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jc w:val="center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38*</w:t>
            </w:r>
          </w:p>
        </w:tc>
        <w:tc>
          <w:tcPr>
            <w:tcW w:w="21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QC/T 925-2013</w:t>
            </w:r>
          </w:p>
        </w:tc>
        <w:tc>
          <w:tcPr>
            <w:tcW w:w="5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3DE" w:rsidRDefault="000813DE" w:rsidP="006214D2">
            <w:pPr>
              <w:autoSpaceDN w:val="0"/>
              <w:snapToGrid w:val="0"/>
              <w:spacing w:before="156" w:after="156" w:line="240" w:lineRule="atLeast"/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cs="仿宋" w:hint="eastAsia"/>
              </w:rPr>
              <w:t>超级电容电动城市客车</w:t>
            </w:r>
            <w:r>
              <w:rPr>
                <w:rFonts w:ascii="仿宋_GB2312" w:eastAsia="仿宋_GB2312" w:hint="eastAsia"/>
              </w:rPr>
              <w:t xml:space="preserve"> </w:t>
            </w:r>
            <w:r>
              <w:rPr>
                <w:rFonts w:ascii="仿宋_GB2312" w:eastAsia="仿宋_GB2312" w:cs="仿宋" w:hint="eastAsia"/>
              </w:rPr>
              <w:t>定型试验规程</w:t>
            </w:r>
          </w:p>
        </w:tc>
      </w:tr>
    </w:tbl>
    <w:p w:rsidR="000813DE" w:rsidRDefault="000813DE" w:rsidP="000813DE">
      <w:pPr>
        <w:spacing w:line="360" w:lineRule="auto"/>
        <w:ind w:left="630" w:hangingChars="300" w:hanging="630"/>
        <w:jc w:val="left"/>
        <w:rPr>
          <w:rFonts w:ascii="仿宋_GB2312" w:eastAsia="仿宋_GB2312" w:hint="eastAsia"/>
        </w:rPr>
      </w:pPr>
      <w:r>
        <w:rPr>
          <w:rFonts w:ascii="仿宋_GB2312" w:eastAsia="仿宋_GB2312" w:cs="仿宋" w:hint="eastAsia"/>
        </w:rPr>
        <w:t>注：</w:t>
      </w:r>
      <w:r>
        <w:rPr>
          <w:rFonts w:ascii="仿宋_GB2312" w:eastAsia="仿宋_GB2312" w:hint="eastAsia"/>
        </w:rPr>
        <w:t>1.</w:t>
      </w:r>
      <w:r>
        <w:rPr>
          <w:rFonts w:ascii="仿宋_GB2312" w:eastAsia="仿宋_GB2312" w:cs="仿宋" w:hint="eastAsia"/>
        </w:rPr>
        <w:t>序号中加“</w:t>
      </w:r>
      <w:r>
        <w:rPr>
          <w:rFonts w:ascii="仿宋_GB2312" w:eastAsia="仿宋_GB2312" w:hint="eastAsia"/>
        </w:rPr>
        <w:t>*</w:t>
      </w:r>
      <w:r>
        <w:rPr>
          <w:rFonts w:ascii="仿宋_GB2312" w:eastAsia="仿宋_GB2312" w:cs="仿宋" w:hint="eastAsia"/>
        </w:rPr>
        <w:t>”标准实施时间以工业和信息化部《车辆生产企业及产品公告》要求的实施时间为准。</w:t>
      </w:r>
    </w:p>
    <w:p w:rsidR="000813DE" w:rsidRDefault="000813DE" w:rsidP="000813DE">
      <w:pPr>
        <w:spacing w:line="360" w:lineRule="auto"/>
        <w:ind w:firstLineChars="200" w:firstLine="420"/>
        <w:jc w:val="left"/>
        <w:rPr>
          <w:rFonts w:ascii="仿宋_GB2312" w:eastAsia="仿宋_GB2312" w:hint="eastAsia"/>
          <w:b/>
          <w:sz w:val="28"/>
        </w:rPr>
      </w:pPr>
      <w:r>
        <w:rPr>
          <w:rFonts w:ascii="仿宋_GB2312" w:eastAsia="仿宋_GB2312" w:hint="eastAsia"/>
        </w:rPr>
        <w:t>2.</w:t>
      </w:r>
      <w:r>
        <w:rPr>
          <w:rFonts w:ascii="仿宋_GB2312" w:eastAsia="仿宋_GB2312" w:cs="仿宋" w:hint="eastAsia"/>
        </w:rPr>
        <w:t>本目录将根据新能源汽车标准变化情况进行调整。</w:t>
      </w:r>
    </w:p>
    <w:p w:rsidR="000813DE" w:rsidRPr="00576BB2" w:rsidRDefault="000813DE" w:rsidP="000813DE"/>
    <w:p w:rsidR="000813DE" w:rsidRPr="006511BA" w:rsidRDefault="000813DE" w:rsidP="000813DE">
      <w:pPr>
        <w:rPr>
          <w:rFonts w:hint="eastAsia"/>
        </w:rPr>
      </w:pPr>
    </w:p>
    <w:p w:rsidR="005972E1" w:rsidRPr="000813DE" w:rsidRDefault="005972E1">
      <w:pPr>
        <w:rPr>
          <w:rFonts w:hint="eastAsia"/>
        </w:rPr>
      </w:pPr>
    </w:p>
    <w:sectPr w:rsidR="005972E1" w:rsidRPr="000813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13DE"/>
    <w:rsid w:val="000813DE"/>
    <w:rsid w:val="00597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3D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1687</Characters>
  <Application>Microsoft Office Word</Application>
  <DocSecurity>0</DocSecurity>
  <Lines>14</Lines>
  <Paragraphs>3</Paragraphs>
  <ScaleCrop>false</ScaleCrop>
  <Company>MOF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YuWeidi</dc:creator>
  <cp:keywords/>
  <dc:description/>
  <cp:lastModifiedBy>YuWeidi</cp:lastModifiedBy>
  <cp:revision>1</cp:revision>
  <dcterms:created xsi:type="dcterms:W3CDTF">2015-05-15T06:45:00Z</dcterms:created>
  <dcterms:modified xsi:type="dcterms:W3CDTF">2015-05-15T06:46:00Z</dcterms:modified>
</cp:coreProperties>
</file>