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450" w:lineRule="atLeast"/>
        <w:ind w:left="0" w:right="0"/>
        <w:jc w:val="left"/>
        <w:textAlignment w:val="auto"/>
        <w:outlineLvl w:val="9"/>
        <w:rPr>
          <w:rFonts w:hint="eastAsia" w:ascii="微软雅黑" w:hAnsi="微软雅黑" w:eastAsia="微软雅黑" w:cs="微软雅黑"/>
          <w:color w:val="000000"/>
          <w:kern w:val="0"/>
          <w:sz w:val="24"/>
          <w:szCs w:val="24"/>
          <w:bdr w:val="none" w:color="auto" w:sz="0" w:space="0"/>
          <w:lang w:val="en-US" w:eastAsia="zh-CN" w:bidi="ar"/>
        </w:rPr>
      </w:pPr>
      <w:r>
        <w:rPr>
          <w:rFonts w:ascii="方正小标宋简体" w:hAnsi="方正小标宋简体" w:eastAsia="方正小标宋简体" w:cs="方正小标宋简体"/>
          <w:color w:val="000000"/>
          <w:kern w:val="0"/>
          <w:sz w:val="36"/>
          <w:szCs w:val="36"/>
          <w:bdr w:val="none" w:color="auto" w:sz="0" w:space="0"/>
          <w:lang w:val="en-US" w:eastAsia="zh-CN" w:bidi="ar"/>
        </w:rPr>
        <w:t>目录一</w:t>
      </w:r>
      <w:r>
        <w:rPr>
          <w:rFonts w:hint="eastAsia" w:ascii="微软雅黑" w:hAnsi="微软雅黑" w:eastAsia="微软雅黑" w:cs="微软雅黑"/>
          <w:color w:val="000000"/>
          <w:kern w:val="0"/>
          <w:sz w:val="24"/>
          <w:szCs w:val="24"/>
          <w:bdr w:val="none" w:color="auto" w:sz="0" w:space="0"/>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0" w:afterAutospacing="0" w:line="450" w:lineRule="atLeast"/>
        <w:ind w:left="0" w:right="0"/>
        <w:jc w:val="center"/>
        <w:textAlignment w:val="auto"/>
        <w:outlineLvl w:val="9"/>
        <w:rPr>
          <w:rFonts w:hint="eastAsia" w:ascii="微软雅黑" w:hAnsi="微软雅黑" w:eastAsia="微软雅黑" w:cs="微软雅黑"/>
          <w:color w:val="000000"/>
        </w:rPr>
      </w:pPr>
      <w:r>
        <w:rPr>
          <w:rFonts w:hint="default" w:ascii="方正小标宋简体" w:hAnsi="方正小标宋简体" w:eastAsia="方正小标宋简体" w:cs="方正小标宋简体"/>
          <w:color w:val="000000"/>
          <w:kern w:val="0"/>
          <w:sz w:val="36"/>
          <w:szCs w:val="36"/>
          <w:bdr w:val="none" w:color="auto" w:sz="0" w:space="0"/>
          <w:lang w:val="en-US" w:eastAsia="zh-CN" w:bidi="ar"/>
        </w:rPr>
        <w:t>全文失效废止的税收规范性文件</w:t>
      </w:r>
    </w:p>
    <w:tbl>
      <w:tblPr>
        <w:tblW w:w="8304" w:type="dxa"/>
        <w:jc w:val="center"/>
        <w:tblInd w:w="1" w:type="dxa"/>
        <w:shd w:val="clear"/>
        <w:tblLayout w:type="fixed"/>
        <w:tblCellMar>
          <w:top w:w="0" w:type="dxa"/>
          <w:left w:w="0" w:type="dxa"/>
          <w:bottom w:w="0" w:type="dxa"/>
          <w:right w:w="0" w:type="dxa"/>
        </w:tblCellMar>
      </w:tblPr>
      <w:tblGrid>
        <w:gridCol w:w="613"/>
        <w:gridCol w:w="4196"/>
        <w:gridCol w:w="1325"/>
        <w:gridCol w:w="2170"/>
      </w:tblGrid>
      <w:tr>
        <w:tblPrEx>
          <w:shd w:val="clear"/>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ascii="黑体" w:hAnsi="宋体" w:eastAsia="黑体" w:cs="黑体"/>
                <w:b/>
                <w:color w:val="000000"/>
                <w:kern w:val="0"/>
                <w:sz w:val="24"/>
                <w:szCs w:val="24"/>
                <w:bdr w:val="none" w:color="auto" w:sz="0" w:space="0"/>
                <w:lang w:val="en-US" w:eastAsia="zh-CN" w:bidi="ar"/>
              </w:rPr>
              <w:t>序号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黑体" w:hAnsi="宋体" w:eastAsia="黑体" w:cs="黑体"/>
                <w:b/>
                <w:color w:val="000000"/>
                <w:kern w:val="0"/>
                <w:sz w:val="24"/>
                <w:szCs w:val="24"/>
                <w:bdr w:val="none" w:color="auto" w:sz="0" w:space="0"/>
                <w:lang w:val="en-US" w:eastAsia="zh-CN" w:bidi="ar"/>
              </w:rPr>
              <w:t>标题</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黑体" w:hAnsi="宋体" w:eastAsia="黑体" w:cs="黑体"/>
                <w:b/>
                <w:color w:val="000000"/>
                <w:kern w:val="0"/>
                <w:sz w:val="24"/>
                <w:szCs w:val="24"/>
                <w:bdr w:val="none" w:color="auto" w:sz="0" w:space="0"/>
                <w:lang w:val="en-US" w:eastAsia="zh-CN" w:bidi="ar"/>
              </w:rPr>
              <w:t>发文日期</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黑体" w:hAnsi="宋体" w:eastAsia="黑体" w:cs="黑体"/>
                <w:b/>
                <w:color w:val="000000"/>
                <w:kern w:val="0"/>
                <w:sz w:val="24"/>
                <w:szCs w:val="24"/>
                <w:bdr w:val="none" w:color="auto" w:sz="0" w:space="0"/>
                <w:lang w:val="en-US" w:eastAsia="zh-CN" w:bidi="ar"/>
              </w:rPr>
              <w:t>文号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厦门市地方税务局关于以房产投资入股取得固定收入征收房产税问题的通知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1996-1-29</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厦地税政三[1996]004号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厦门市地方税务局转发关于查核、暂停支付、扣缴纳税人、扣缴义务人在金融机构存款的通知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1998-7-29</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厦地税征[1998]11号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3</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厦门市地方税务局关于监开增值税发票企业附征税费问题的通知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1999-6-22</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厦地税政三[1999]4号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4</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厦门市地方税务局关于房产税</w:t>
            </w:r>
            <w:r>
              <w:rPr>
                <w:rFonts w:ascii="Arial" w:hAnsi="Arial" w:eastAsia="微软雅黑" w:cs="Arial"/>
                <w:color w:val="000000"/>
                <w:kern w:val="0"/>
                <w:sz w:val="20"/>
                <w:szCs w:val="20"/>
                <w:bdr w:val="none" w:color="auto" w:sz="0" w:space="0"/>
                <w:lang w:val="en-US" w:eastAsia="zh-CN" w:bidi="ar"/>
              </w:rPr>
              <w:t>(</w:t>
            </w:r>
            <w:r>
              <w:rPr>
                <w:rFonts w:hint="eastAsia" w:ascii="宋体" w:hAnsi="宋体" w:eastAsia="宋体" w:cs="宋体"/>
                <w:color w:val="000000"/>
                <w:kern w:val="0"/>
                <w:sz w:val="20"/>
                <w:szCs w:val="20"/>
                <w:bdr w:val="none" w:color="auto" w:sz="0" w:space="0"/>
                <w:lang w:val="en-US" w:eastAsia="zh-CN" w:bidi="ar"/>
              </w:rPr>
              <w:t>城市房地产税</w:t>
            </w:r>
            <w:r>
              <w:rPr>
                <w:rFonts w:hint="default" w:ascii="Arial" w:hAnsi="Arial" w:eastAsia="微软雅黑" w:cs="Arial"/>
                <w:color w:val="000000"/>
                <w:kern w:val="0"/>
                <w:sz w:val="20"/>
                <w:szCs w:val="20"/>
                <w:bdr w:val="none" w:color="auto" w:sz="0" w:space="0"/>
                <w:lang w:val="en-US" w:eastAsia="zh-CN" w:bidi="ar"/>
              </w:rPr>
              <w:t>)</w:t>
            </w:r>
            <w:r>
              <w:rPr>
                <w:rFonts w:hint="eastAsia" w:ascii="宋体" w:hAnsi="宋体" w:eastAsia="宋体" w:cs="宋体"/>
                <w:color w:val="000000"/>
                <w:kern w:val="0"/>
                <w:sz w:val="20"/>
                <w:szCs w:val="20"/>
                <w:bdr w:val="none" w:color="auto" w:sz="0" w:space="0"/>
                <w:lang w:val="en-US" w:eastAsia="zh-CN" w:bidi="ar"/>
              </w:rPr>
              <w:t>、土地使用税、印花税、车船使用</w:t>
            </w:r>
            <w:r>
              <w:rPr>
                <w:rFonts w:hint="default" w:ascii="Arial" w:hAnsi="Arial" w:eastAsia="微软雅黑" w:cs="Arial"/>
                <w:color w:val="000000"/>
                <w:kern w:val="0"/>
                <w:sz w:val="20"/>
                <w:szCs w:val="20"/>
                <w:bdr w:val="none" w:color="auto" w:sz="0" w:space="0"/>
                <w:lang w:val="en-US" w:eastAsia="zh-CN" w:bidi="ar"/>
              </w:rPr>
              <w:t>(</w:t>
            </w:r>
            <w:r>
              <w:rPr>
                <w:rFonts w:hint="eastAsia" w:ascii="宋体" w:hAnsi="宋体" w:eastAsia="宋体" w:cs="宋体"/>
                <w:color w:val="000000"/>
                <w:kern w:val="0"/>
                <w:sz w:val="20"/>
                <w:szCs w:val="20"/>
                <w:bdr w:val="none" w:color="auto" w:sz="0" w:space="0"/>
                <w:lang w:val="en-US" w:eastAsia="zh-CN" w:bidi="ar"/>
              </w:rPr>
              <w:t>牌照</w:t>
            </w:r>
            <w:r>
              <w:rPr>
                <w:rFonts w:hint="default" w:ascii="Arial" w:hAnsi="Arial" w:eastAsia="微软雅黑" w:cs="Arial"/>
                <w:color w:val="000000"/>
                <w:kern w:val="0"/>
                <w:sz w:val="20"/>
                <w:szCs w:val="20"/>
                <w:bdr w:val="none" w:color="auto" w:sz="0" w:space="0"/>
                <w:lang w:val="en-US" w:eastAsia="zh-CN" w:bidi="ar"/>
              </w:rPr>
              <w:t>)</w:t>
            </w:r>
            <w:r>
              <w:rPr>
                <w:rFonts w:hint="eastAsia" w:ascii="宋体" w:hAnsi="宋体" w:eastAsia="宋体" w:cs="宋体"/>
                <w:color w:val="000000"/>
                <w:kern w:val="0"/>
                <w:sz w:val="20"/>
                <w:szCs w:val="20"/>
                <w:bdr w:val="none" w:color="auto" w:sz="0" w:space="0"/>
                <w:lang w:val="en-US" w:eastAsia="zh-CN" w:bidi="ar"/>
              </w:rPr>
              <w:t>税若干政策问题的通知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1999-7-27</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厦地税政三</w:t>
            </w:r>
            <w:r>
              <w:rPr>
                <w:rFonts w:hint="default" w:ascii="Arial" w:hAnsi="Arial" w:eastAsia="微软雅黑" w:cs="Arial"/>
                <w:color w:val="000000"/>
                <w:kern w:val="0"/>
                <w:sz w:val="20"/>
                <w:szCs w:val="20"/>
                <w:bdr w:val="none" w:color="auto" w:sz="0" w:space="0"/>
                <w:lang w:val="en-US" w:eastAsia="zh-CN" w:bidi="ar"/>
              </w:rPr>
              <w:t>[1999]6</w:t>
            </w:r>
            <w:r>
              <w:rPr>
                <w:rFonts w:hint="eastAsia" w:ascii="宋体" w:hAnsi="宋体" w:eastAsia="宋体" w:cs="宋体"/>
                <w:color w:val="000000"/>
                <w:kern w:val="0"/>
                <w:sz w:val="20"/>
                <w:szCs w:val="20"/>
                <w:bdr w:val="none" w:color="auto" w:sz="0" w:space="0"/>
                <w:lang w:val="en-US" w:eastAsia="zh-CN" w:bidi="ar"/>
              </w:rPr>
              <w:t>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5</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厦门市地方税务局关于加强非独立核算分支机构税收征管有关事项的通知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2000-3-16</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厦地税征[2000]4号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6</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厦门市地方税务局关于我市市级行政事业单位工作人员工资实行统一发放后个人所得税征管问题的通知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2000-3-23</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厦地税政二[2000]8号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7</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 xml:space="preserve">厦门市地方税务局关于房地产市场若干税收政策的通知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2002-11-27</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厦地税发[2002]129号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8</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 xml:space="preserve">厦门市地方税务局转发国家税务总局关于强化律师事务所等中介机构投资者个人所得税查账征收的通知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2002-11-29</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厦地税发[2002]130号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9</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厦门市地税局关于转发福建省地税局地方税收定期定额民主评税管理办法[试行]的通知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2003-4-25</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厦地税发[2003]51号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10</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厦门市地方税务局关于城镇土地使用税和房产税若干政策问题的通知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2004-12-9</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w:t>
            </w:r>
            <w:r>
              <w:rPr>
                <w:rFonts w:hint="default" w:ascii="Arial" w:hAnsi="Arial" w:eastAsia="微软雅黑" w:cs="Arial"/>
                <w:color w:val="000000"/>
                <w:kern w:val="0"/>
                <w:sz w:val="20"/>
                <w:szCs w:val="20"/>
                <w:bdr w:val="none" w:color="auto" w:sz="0" w:space="0"/>
                <w:lang w:val="en-US" w:eastAsia="zh-CN" w:bidi="ar"/>
              </w:rPr>
              <w:t>[2004]147</w:t>
            </w:r>
            <w:r>
              <w:rPr>
                <w:rFonts w:hint="eastAsia" w:ascii="宋体" w:hAnsi="宋体" w:eastAsia="宋体" w:cs="宋体"/>
                <w:color w:val="000000"/>
                <w:kern w:val="0"/>
                <w:sz w:val="20"/>
                <w:szCs w:val="20"/>
                <w:bdr w:val="none" w:color="auto" w:sz="0" w:space="0"/>
                <w:lang w:val="en-US" w:eastAsia="zh-CN" w:bidi="ar"/>
              </w:rPr>
              <w:t>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11</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厦门市地方税务局转发国家税务总局关于延期缴纳税款有关问题的通知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2005-1-31</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厦地税函[2005]5号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12</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厦门市地方税务局转发国家税务总局关于调整个人取得全年一次性奖金等计算征收个人所得税方法问题的通知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2005-2-4</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厦地税发[2005]18号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13</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厦门市地方税务局转发财政部国家税务总局关于城镇房屋拆迁有关税收政策的通知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2005-4-20</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厦地税发[2005]51号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14</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厦门市地方税务局关于印发《外籍人员、境外企业档案资料管理暂行办法》的通知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2006-1-1</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厦地税发[2006]22号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15</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厦门市地方税务局转发国家税务总局关于印发《个人所得税全员全额扣缴申报管理暂行办法》的通知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2006-1-12</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厦地税发[2006]5号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16</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 xml:space="preserve"> 厦门市地方税务局关于印发贯彻实施《个人所得税自行纳税申报办法[试行]》工作方案的通知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2006-11-30</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 xml:space="preserve">厦地税发[2006]134号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17</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厦门市地方税务局摘转厦门市人民政府关于废止部分限制非公有制经济发展的市政府规范性文件和有关条款的决定</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2006-12-6</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厦地税发[2006]136号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18</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厦门市地方税务局关于转发《个体工商户建账管理暂行办法》的通知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2007-2-15</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厦地税发[2007]32号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19</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厦门市地方税务局转发国家税务总局关于房地产开发企业土地增值税清算管理有关问题的通知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2007-4-24</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厦地税发[2007]57号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厦门市地方税务局关于简化纳税人报送的书面材料的通知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2007-4-25</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厦地税函[2007]12号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21</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厦门市地方税务局关于加强土地增值税征收管理工作的通知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2007-7-20</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厦地税发〔2007〕100号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22</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 xml:space="preserve">厦门市地方税务局转发国家税务总局关于取消促进科技成果转化暂不征收个人所得税审核权有关问题的通知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2007-8-14</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厦地税发[2007]110号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23</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厦门市地方税务局摘转《关于全面推进居家养老服务工作的意见》中有关税收优惠政策的通知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2008-3-6</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厦地税发[2008]31号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24</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厦门市地方税务局关于调整我市土地增值税预征率的通知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2008-4-15</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厦地税发〔2008〕52号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25</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厦门市地方税务局关于印发欠税管理办法的通知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2008-7-30</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厦地税发[2008]120号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26</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厦门市地方税务局关于调整房地产交易环节税收政策的通知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2008-10-28</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厦地税函[2008]55 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27</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厦门市地方税务局转发国家税务总局关于跨地区经营建筑企业所得税征收管理问题的通知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2010-5-17</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厦地税发[2010]70号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28</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厦门市地方税务局关于发布《企业税前</w:t>
            </w:r>
            <w:bookmarkStart w:id="0" w:name="_GoBack"/>
            <w:bookmarkEnd w:id="0"/>
            <w:r>
              <w:rPr>
                <w:rFonts w:hint="eastAsia" w:ascii="宋体" w:hAnsi="宋体" w:eastAsia="宋体" w:cs="宋体"/>
                <w:color w:val="000000"/>
                <w:kern w:val="0"/>
                <w:sz w:val="20"/>
                <w:szCs w:val="20"/>
                <w:bdr w:val="none" w:color="auto" w:sz="0" w:space="0"/>
                <w:lang w:val="en-US" w:eastAsia="zh-CN" w:bidi="ar"/>
              </w:rPr>
              <w:t xml:space="preserve">弥补亏损管理办法》的公告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2011-7-1</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 xml:space="preserve">厦门市地方税务局公告2011年第7号 </w:t>
            </w:r>
          </w:p>
        </w:tc>
      </w:tr>
      <w:tr>
        <w:tblPrEx>
          <w:tblLayout w:type="fixed"/>
          <w:tblCellMar>
            <w:top w:w="0" w:type="dxa"/>
            <w:left w:w="0" w:type="dxa"/>
            <w:bottom w:w="0" w:type="dxa"/>
            <w:right w:w="0" w:type="dxa"/>
          </w:tblCellMar>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29</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 厦门市地方税务局关于单位房地产被委托拍卖以及异地单位转让在厦房地产有关税收问题的公告</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2012-1-4</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厦门市地方税务局公告2012年第1号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30</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 厦门市地方税务局关于发布修订后《规范行政处罚自由裁量权实施办法》的公告</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2013-1-5</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厦门市地方税务局公告2013年第1号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31</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 厦门市地方税务局关于律师行业个人所得税有关问题的公告</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2013-1-7</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厦门市地方税务局公告2013年第2号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61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32</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41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厦门市地方税务局关于更新行政许可事项目录的公告</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3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2016-3-9</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1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厦门市地方税务局公告2016年第3号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50" w:lineRule="atLeast"/>
        <w:ind w:left="0" w:right="0"/>
        <w:jc w:val="left"/>
        <w:rPr>
          <w:rFonts w:hint="eastAsia" w:ascii="微软雅黑" w:hAnsi="微软雅黑" w:eastAsia="微软雅黑" w:cs="微软雅黑"/>
          <w:color w:val="000000"/>
        </w:rPr>
      </w:pPr>
      <w:r>
        <w:rPr>
          <w:rFonts w:hint="eastAsia" w:ascii="微软雅黑" w:hAnsi="微软雅黑" w:eastAsia="微软雅黑" w:cs="微软雅黑"/>
          <w:color w:val="000000"/>
          <w:kern w:val="0"/>
          <w:sz w:val="24"/>
          <w:szCs w:val="24"/>
          <w:bdr w:val="none" w:color="auto" w:sz="0" w:space="0"/>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50" w:lineRule="atLeast"/>
        <w:ind w:left="0" w:right="0"/>
        <w:jc w:val="left"/>
        <w:rPr>
          <w:rFonts w:hint="eastAsia" w:ascii="微软雅黑" w:hAnsi="微软雅黑" w:eastAsia="微软雅黑" w:cs="微软雅黑"/>
          <w:color w:val="000000"/>
        </w:rPr>
      </w:pPr>
      <w:r>
        <w:rPr>
          <w:rFonts w:hint="eastAsia" w:ascii="微软雅黑" w:hAnsi="微软雅黑" w:eastAsia="微软雅黑" w:cs="微软雅黑"/>
          <w:color w:val="000000"/>
          <w:kern w:val="0"/>
          <w:sz w:val="24"/>
          <w:szCs w:val="24"/>
          <w:bdr w:val="none" w:color="auto" w:sz="0" w:space="0"/>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50" w:lineRule="atLeast"/>
        <w:ind w:left="0" w:right="0"/>
        <w:jc w:val="left"/>
        <w:rPr>
          <w:rFonts w:hint="eastAsia" w:ascii="微软雅黑" w:hAnsi="微软雅黑" w:eastAsia="微软雅黑" w:cs="微软雅黑"/>
          <w:color w:val="000000"/>
        </w:rPr>
      </w:pPr>
      <w:r>
        <w:rPr>
          <w:rFonts w:hint="default" w:ascii="方正小标宋简体" w:hAnsi="方正小标宋简体" w:eastAsia="方正小标宋简体" w:cs="方正小标宋简体"/>
          <w:color w:val="000000"/>
          <w:kern w:val="0"/>
          <w:sz w:val="36"/>
          <w:szCs w:val="36"/>
          <w:bdr w:val="none" w:color="auto" w:sz="0" w:space="0"/>
          <w:lang w:val="en-US" w:eastAsia="zh-CN" w:bidi="ar"/>
        </w:rPr>
        <w:t>目录二</w:t>
      </w:r>
      <w:r>
        <w:rPr>
          <w:rFonts w:hint="eastAsia" w:ascii="微软雅黑" w:hAnsi="微软雅黑" w:eastAsia="微软雅黑" w:cs="微软雅黑"/>
          <w:color w:val="000000"/>
          <w:kern w:val="0"/>
          <w:sz w:val="24"/>
          <w:szCs w:val="24"/>
          <w:bdr w:val="none" w:color="auto" w:sz="0" w:space="0"/>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50" w:lineRule="atLeast"/>
        <w:ind w:left="0" w:right="0"/>
        <w:jc w:val="center"/>
        <w:rPr>
          <w:rFonts w:hint="eastAsia" w:ascii="微软雅黑" w:hAnsi="微软雅黑" w:eastAsia="微软雅黑" w:cs="微软雅黑"/>
          <w:color w:val="000000"/>
        </w:rPr>
      </w:pPr>
      <w:r>
        <w:rPr>
          <w:rFonts w:hint="default" w:ascii="方正小标宋简体" w:hAnsi="方正小标宋简体" w:eastAsia="方正小标宋简体" w:cs="方正小标宋简体"/>
          <w:color w:val="000000"/>
          <w:kern w:val="0"/>
          <w:sz w:val="36"/>
          <w:szCs w:val="36"/>
          <w:bdr w:val="none" w:color="auto" w:sz="0" w:space="0"/>
          <w:lang w:val="en-US" w:eastAsia="zh-CN" w:bidi="ar"/>
        </w:rPr>
        <w:t>部分条款失效废止的税收规范性文件</w:t>
      </w:r>
      <w:r>
        <w:rPr>
          <w:rFonts w:hint="eastAsia" w:ascii="微软雅黑" w:hAnsi="微软雅黑" w:eastAsia="微软雅黑" w:cs="微软雅黑"/>
          <w:color w:val="000000"/>
          <w:kern w:val="0"/>
          <w:sz w:val="24"/>
          <w:szCs w:val="24"/>
          <w:bdr w:val="none" w:color="auto" w:sz="0" w:space="0"/>
          <w:lang w:val="en-US" w:eastAsia="zh-CN" w:bidi="ar"/>
        </w:rPr>
        <w:t xml:space="preserve"> </w:t>
      </w:r>
    </w:p>
    <w:tbl>
      <w:tblPr>
        <w:tblW w:w="8304" w:type="dxa"/>
        <w:jc w:val="center"/>
        <w:tblInd w:w="1" w:type="dxa"/>
        <w:shd w:val="clear"/>
        <w:tblLayout w:type="fixed"/>
        <w:tblCellMar>
          <w:top w:w="0" w:type="dxa"/>
          <w:left w:w="0" w:type="dxa"/>
          <w:bottom w:w="0" w:type="dxa"/>
          <w:right w:w="0" w:type="dxa"/>
        </w:tblCellMar>
      </w:tblPr>
      <w:tblGrid>
        <w:gridCol w:w="583"/>
        <w:gridCol w:w="2729"/>
        <w:gridCol w:w="1225"/>
        <w:gridCol w:w="1885"/>
        <w:gridCol w:w="1882"/>
      </w:tblGrid>
      <w:tr>
        <w:tblPrEx>
          <w:shd w:val="clear"/>
          <w:tblLayout w:type="fixed"/>
        </w:tblPrEx>
        <w:trPr>
          <w:jc w:val="center"/>
        </w:trPr>
        <w:tc>
          <w:tcPr>
            <w:tcW w:w="58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黑体" w:hAnsi="宋体" w:eastAsia="黑体" w:cs="黑体"/>
                <w:b/>
                <w:color w:val="000000"/>
                <w:kern w:val="0"/>
                <w:sz w:val="24"/>
                <w:szCs w:val="24"/>
                <w:bdr w:val="none" w:color="auto" w:sz="0" w:space="0"/>
                <w:lang w:val="en-US" w:eastAsia="zh-CN" w:bidi="ar"/>
              </w:rPr>
              <w:t>序号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72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黑体" w:hAnsi="宋体" w:eastAsia="黑体" w:cs="黑体"/>
                <w:b/>
                <w:color w:val="000000"/>
                <w:kern w:val="0"/>
                <w:sz w:val="24"/>
                <w:szCs w:val="24"/>
                <w:bdr w:val="none" w:color="auto" w:sz="0" w:space="0"/>
                <w:lang w:val="en-US" w:eastAsia="zh-CN" w:bidi="ar"/>
              </w:rPr>
              <w:t>标题</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2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黑体" w:hAnsi="宋体" w:eastAsia="黑体" w:cs="黑体"/>
                <w:b/>
                <w:color w:val="000000"/>
                <w:kern w:val="0"/>
                <w:sz w:val="24"/>
                <w:szCs w:val="24"/>
                <w:bdr w:val="none" w:color="auto" w:sz="0" w:space="0"/>
                <w:lang w:val="en-US" w:eastAsia="zh-CN" w:bidi="ar"/>
              </w:rPr>
              <w:t>发文日期</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黑体" w:hAnsi="宋体" w:eastAsia="黑体" w:cs="黑体"/>
                <w:b/>
                <w:color w:val="000000"/>
                <w:kern w:val="0"/>
                <w:sz w:val="24"/>
                <w:szCs w:val="24"/>
                <w:bdr w:val="none" w:color="auto" w:sz="0" w:space="0"/>
                <w:lang w:val="en-US" w:eastAsia="zh-CN" w:bidi="ar"/>
              </w:rPr>
              <w:t>文号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黑体" w:hAnsi="宋体" w:eastAsia="黑体" w:cs="黑体"/>
                <w:b/>
                <w:color w:val="000000"/>
                <w:kern w:val="0"/>
                <w:sz w:val="24"/>
                <w:szCs w:val="24"/>
                <w:bdr w:val="none" w:color="auto" w:sz="0" w:space="0"/>
                <w:lang w:val="en-US" w:eastAsia="zh-CN" w:bidi="ar"/>
              </w:rPr>
              <w:t>失效废止条款</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58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1</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72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厦门市地方税务局关于印发《厦门市房产税征收管理办法》的通知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2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微软雅黑" w:hAnsi="微软雅黑" w:eastAsia="微软雅黑" w:cs="微软雅黑"/>
                <w:color w:val="000000"/>
                <w:kern w:val="0"/>
                <w:sz w:val="20"/>
                <w:szCs w:val="20"/>
                <w:bdr w:val="none" w:color="auto" w:sz="0" w:space="0"/>
                <w:lang w:val="en-US" w:eastAsia="zh-CN" w:bidi="ar"/>
              </w:rPr>
              <w:t>2000-2-2</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厦地税政三</w:t>
            </w:r>
            <w:r>
              <w:rPr>
                <w:rFonts w:hint="default" w:ascii="Arial" w:hAnsi="Arial" w:eastAsia="微软雅黑" w:cs="Arial"/>
                <w:color w:val="000000"/>
                <w:kern w:val="0"/>
                <w:sz w:val="20"/>
                <w:szCs w:val="20"/>
                <w:bdr w:val="none" w:color="auto" w:sz="0" w:space="0"/>
                <w:lang w:val="en-US" w:eastAsia="zh-CN" w:bidi="ar"/>
              </w:rPr>
              <w:t>[2000]2</w:t>
            </w:r>
            <w:r>
              <w:rPr>
                <w:rFonts w:hint="eastAsia" w:ascii="宋体" w:hAnsi="宋体" w:eastAsia="宋体" w:cs="宋体"/>
                <w:color w:val="000000"/>
                <w:kern w:val="0"/>
                <w:sz w:val="20"/>
                <w:szCs w:val="20"/>
                <w:bdr w:val="none" w:color="auto" w:sz="0" w:space="0"/>
                <w:lang w:val="en-US" w:eastAsia="zh-CN" w:bidi="ar"/>
              </w:rPr>
              <w:t>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废止《通知》第二条、第三条废止；《办法》第一条第三、四、五、六款；第二条第一款第二项第二目、第三项、第四项，第二款，第三款第二项、第六项、第九项第三目；第三条；第四条；第五条；第六条。</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CellMar>
            <w:top w:w="0" w:type="dxa"/>
            <w:left w:w="0" w:type="dxa"/>
            <w:bottom w:w="0" w:type="dxa"/>
            <w:right w:w="0" w:type="dxa"/>
          </w:tblCellMar>
        </w:tblPrEx>
        <w:trPr>
          <w:jc w:val="center"/>
        </w:trPr>
        <w:tc>
          <w:tcPr>
            <w:tcW w:w="58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72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厦门市地方税务局关于调整个人住房转让税收政策的通知</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2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2009-12-30</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厦地税发[2009]148号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废止第一条，第二条，第三条第一款第二项、第二款第二项，第四条。</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58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3</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72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厦门市地方税务局关于土地增值税征收管理有关事项的公告</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2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2011-4-27</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厦门市地方税务局公告2011年第5号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废止第一条，第二条第二款，第四条第一款。</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r>
        <w:tblPrEx>
          <w:tblLayout w:type="fixed"/>
        </w:tblPrEx>
        <w:trPr>
          <w:jc w:val="center"/>
        </w:trPr>
        <w:tc>
          <w:tcPr>
            <w:tcW w:w="58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4</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272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厦门市地方税务局关于调整房产税及城镇土地使用税纳税申报期限的公告</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2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2016-3-4</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厦门市地方税务局公告2016年第2号</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c>
          <w:tcPr>
            <w:tcW w:w="188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000000"/>
              </w:rPr>
            </w:pPr>
            <w:r>
              <w:rPr>
                <w:rFonts w:hint="eastAsia" w:ascii="宋体" w:hAnsi="宋体" w:eastAsia="宋体" w:cs="宋体"/>
                <w:color w:val="000000"/>
                <w:kern w:val="0"/>
                <w:sz w:val="20"/>
                <w:szCs w:val="20"/>
                <w:bdr w:val="none" w:color="auto" w:sz="0" w:space="0"/>
                <w:lang w:val="en-US" w:eastAsia="zh-CN" w:bidi="ar"/>
              </w:rPr>
              <w:t>废止第三条。</w:t>
            </w:r>
            <w:r>
              <w:rPr>
                <w:rFonts w:hint="eastAsia" w:ascii="微软雅黑" w:hAnsi="微软雅黑" w:eastAsia="微软雅黑" w:cs="微软雅黑"/>
                <w:color w:val="000000"/>
                <w:kern w:val="0"/>
                <w:sz w:val="24"/>
                <w:szCs w:val="24"/>
                <w:bdr w:val="none" w:color="auto" w:sz="0" w:space="0"/>
                <w:lang w:val="en-US" w:eastAsia="zh-CN" w:bidi="ar"/>
              </w:rPr>
              <w:t xml:space="preserve"> </w:t>
            </w:r>
          </w:p>
        </w:tc>
      </w:tr>
    </w:tbl>
    <w:p/>
    <w:sectPr>
      <w:pgSz w:w="11906" w:h="16838"/>
      <w:pgMar w:top="1134" w:right="1800" w:bottom="1134"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76C3701"/>
    <w:rsid w:val="58C445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character" w:styleId="3">
    <w:name w:val="FollowedHyperlink"/>
    <w:basedOn w:val="2"/>
    <w:uiPriority w:val="0"/>
    <w:rPr>
      <w:color w:val="000000"/>
      <w:sz w:val="21"/>
      <w:szCs w:val="21"/>
      <w:u w:val="none"/>
    </w:rPr>
  </w:style>
  <w:style w:type="character" w:styleId="4">
    <w:name w:val="HTML Acronym"/>
    <w:basedOn w:val="2"/>
    <w:uiPriority w:val="0"/>
    <w:rPr>
      <w:bdr w:val="none" w:color="auto" w:sz="0" w:space="0"/>
    </w:rPr>
  </w:style>
  <w:style w:type="character" w:styleId="5">
    <w:name w:val="Hyperlink"/>
    <w:basedOn w:val="2"/>
    <w:uiPriority w:val="0"/>
    <w:rPr>
      <w:color w:val="000000"/>
      <w:sz w:val="21"/>
      <w:szCs w:val="21"/>
      <w:u w:val="none"/>
    </w:rPr>
  </w:style>
  <w:style w:type="character" w:customStyle="1" w:styleId="7">
    <w:name w:val="bsharetext"/>
    <w:basedOn w:val="2"/>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A槑 </cp:lastModifiedBy>
  <dcterms:modified xsi:type="dcterms:W3CDTF">2018-07-02T03:52:03Z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