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附件2：</w:t>
      </w:r>
    </w:p>
    <w:p>
      <w:pPr>
        <w:pStyle w:val="2"/>
        <w:keepNext w:val="0"/>
        <w:keepLines w:val="0"/>
        <w:widowControl/>
        <w:suppressLineNumbers w:val="0"/>
        <w:spacing w:before="75" w:beforeAutospacing="0" w:after="75" w:afterAutospacing="0"/>
        <w:ind w:right="0"/>
        <w:jc w:val="center"/>
        <w:rPr>
          <w:rFonts w:hint="eastAsia" w:ascii="宋体" w:hAnsi="宋体" w:eastAsia="宋体" w:cs="宋体"/>
          <w:b w:val="0"/>
          <w:i w:val="0"/>
          <w:caps w:val="0"/>
          <w:color w:val="000000"/>
          <w:spacing w:val="0"/>
          <w:sz w:val="21"/>
          <w:szCs w:val="21"/>
        </w:rPr>
      </w:pPr>
      <w:bookmarkStart w:id="0" w:name="_GoBack"/>
      <w:bookmarkEnd w:id="0"/>
      <w:r>
        <w:rPr>
          <w:rFonts w:hint="eastAsia" w:ascii="宋体" w:hAnsi="宋体" w:eastAsia="宋体" w:cs="宋体"/>
          <w:b w:val="0"/>
          <w:i w:val="0"/>
          <w:caps w:val="0"/>
          <w:color w:val="000000"/>
          <w:spacing w:val="0"/>
          <w:sz w:val="21"/>
          <w:szCs w:val="21"/>
        </w:rPr>
        <w:t>填表说明</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表一、</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1、政策依据：凡收取管理费需向税务机关提供收取管理费的证明文件的文号、提取比例、审批机关。</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2、资格条件：符合收取哪一种管理费的简要情况。</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3、“财政及上级经费拨款”中不包括专项经费拨款。</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4、“经批准收取的行业管理费或其他费用”填经市政府批准收取的行业管理费或其他费用。</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表二、</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1、“备注”一栏（7）由税务机关填“剔不合理因素”的文字说明。</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2、无论哪一种管理费的支出能在（9）―（18）项中反映的，其支出要填在相应的项目中；不能在其反映的，填在“其他支出”（19）一项中并附文字说明。</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表四、</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1、“上年实际收取比例合计”一栏，应为100%（主管部门收取企业及二级公司管理费比例之和为100%）。</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2、表中“节余情况”分比例和金额填报，表中收取比例即为节余比例，节余的金额填主管部门管理费节余数为按所属企业及分支机构提取比例分摊到各企业及分支机构的数额。</w:t>
      </w:r>
    </w:p>
    <w:p>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64567"/>
    <w:rsid w:val="3DE64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2018-11-30T06:17:00Z</dcterms:created>
  <dc:creator>半糖主义</dc:creator>
  <cp:lastModifiedBy>半糖主义</cp:lastModifiedBy>
  <dcterms:modified xsi:type="dcterms:W3CDTF">2018-11-30T06:19:12Z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