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widowControl w:val="0"/>
        <w:overflowPunct w:val="0"/>
        <w:spacing w:before="0" w:after="0"/>
        <w:jc w:val="both"/>
        <w:rPr>
          <w:rFonts w:hint="eastAsia" w:ascii="方正黑体_GBK" w:hAnsi="方正黑体_GBK" w:eastAsia="方正黑体_GBK" w:cs="方正黑体_GBK"/>
          <w:b w:val="0"/>
          <w:bCs w:val="0"/>
          <w:i w:val="0"/>
          <w:iCs w:val="0"/>
          <w:sz w:val="32"/>
          <w:szCs w:val="32"/>
          <w:lang w:val="en-US" w:eastAsia="zh-CN"/>
        </w:rPr>
      </w:pPr>
      <w:bookmarkStart w:id="0" w:name="_Toc116152768"/>
      <w:r>
        <w:rPr>
          <w:rFonts w:hint="eastAsia" w:ascii="方正黑体_GBK" w:hAnsi="方正黑体_GBK" w:eastAsia="方正黑体_GBK" w:cs="方正黑体_GBK"/>
          <w:b w:val="0"/>
          <w:bCs w:val="0"/>
          <w:i w:val="0"/>
          <w:iCs w:val="0"/>
          <w:sz w:val="32"/>
          <w:szCs w:val="32"/>
          <w:lang w:eastAsia="zh-CN"/>
        </w:rPr>
        <w:t>附件</w:t>
      </w:r>
      <w:r>
        <w:rPr>
          <w:rFonts w:hint="eastAsia" w:ascii="方正黑体_GBK" w:hAnsi="方正黑体_GBK" w:eastAsia="方正黑体_GBK" w:cs="方正黑体_GBK"/>
          <w:b w:val="0"/>
          <w:bCs w:val="0"/>
          <w:i w:val="0"/>
          <w:iCs w:val="0"/>
          <w:sz w:val="32"/>
          <w:szCs w:val="32"/>
          <w:lang w:val="en-US" w:eastAsia="zh-CN"/>
        </w:rPr>
        <w:t>1</w:t>
      </w:r>
    </w:p>
    <w:p>
      <w:pPr>
        <w:pStyle w:val="4"/>
        <w:keepNext w:val="0"/>
        <w:widowControl w:val="0"/>
        <w:overflowPunct w:val="0"/>
        <w:spacing w:before="0" w:after="0"/>
        <w:jc w:val="center"/>
        <w:rPr>
          <w:rFonts w:hint="eastAsia" w:ascii="方正小标宋简体" w:hAnsi="方正小标宋简体" w:eastAsia="方正小标宋简体" w:cs="方正小标宋简体"/>
          <w:b w:val="0"/>
          <w:bCs w:val="0"/>
          <w:i w:val="0"/>
          <w:iCs w:val="0"/>
          <w:sz w:val="36"/>
          <w:szCs w:val="36"/>
        </w:rPr>
      </w:pPr>
      <w:r>
        <w:rPr>
          <w:rFonts w:hint="eastAsia" w:ascii="方正小标宋简体" w:hAnsi="方正小标宋简体" w:eastAsia="方正小标宋简体" w:cs="方正小标宋简体"/>
          <w:b w:val="0"/>
          <w:bCs w:val="0"/>
          <w:i w:val="0"/>
          <w:iCs w:val="0"/>
          <w:sz w:val="36"/>
          <w:szCs w:val="36"/>
        </w:rPr>
        <w:t>行政事业单位内部控制评价办法</w:t>
      </w:r>
      <w:bookmarkEnd w:id="0"/>
    </w:p>
    <w:p>
      <w:pPr>
        <w:pStyle w:val="4"/>
        <w:keepNext w:val="0"/>
        <w:widowControl w:val="0"/>
        <w:overflowPunct w:val="0"/>
        <w:spacing w:before="0" w:after="0"/>
        <w:jc w:val="center"/>
        <w:rPr>
          <w:rFonts w:hint="eastAsia" w:ascii="方正楷体_GBK" w:hAnsi="方正楷体_GBK" w:eastAsia="方正楷体_GBK" w:cs="方正楷体_GBK"/>
          <w:b w:val="0"/>
          <w:bCs w:val="0"/>
          <w:i w:val="0"/>
          <w:iCs w:val="0"/>
          <w:sz w:val="32"/>
          <w:szCs w:val="32"/>
        </w:rPr>
      </w:pPr>
      <w:r>
        <w:rPr>
          <w:rFonts w:hint="eastAsia" w:ascii="方正楷体_GBK" w:hAnsi="方正楷体_GBK" w:eastAsia="方正楷体_GBK" w:cs="方正楷体_GBK"/>
          <w:b w:val="0"/>
          <w:bCs w:val="0"/>
          <w:i w:val="0"/>
          <w:iCs w:val="0"/>
          <w:sz w:val="32"/>
          <w:szCs w:val="32"/>
        </w:rPr>
        <w:t>（征求意见稿）</w:t>
      </w:r>
    </w:p>
    <w:p>
      <w:pPr>
        <w:jc w:val="center"/>
        <w:rPr>
          <w:rFonts w:eastAsia="黑体" w:cs="宋体"/>
          <w:sz w:val="32"/>
          <w:szCs w:val="32"/>
        </w:rPr>
      </w:pPr>
      <w:bookmarkStart w:id="4" w:name="_GoBack"/>
      <w:bookmarkEnd w:id="4"/>
    </w:p>
    <w:p>
      <w:pPr>
        <w:pStyle w:val="5"/>
        <w:widowControl w:val="0"/>
        <w:overflowPunct w:val="0"/>
        <w:spacing w:before="163" w:beforeLines="50" w:after="163" w:afterLines="50"/>
        <w:jc w:val="center"/>
        <w:rPr>
          <w:rFonts w:ascii="黑体" w:hAnsi="黑体" w:eastAsia="黑体" w:cs="黑体"/>
          <w:b w:val="0"/>
          <w:bCs w:val="0"/>
          <w:sz w:val="32"/>
          <w:szCs w:val="32"/>
        </w:rPr>
      </w:pPr>
      <w:bookmarkStart w:id="1" w:name="_Toc116152769"/>
      <w:r>
        <w:rPr>
          <w:rFonts w:hint="eastAsia" w:ascii="黑体" w:hAnsi="黑体" w:eastAsia="黑体" w:cs="黑体"/>
          <w:b w:val="0"/>
          <w:bCs w:val="0"/>
          <w:sz w:val="32"/>
          <w:szCs w:val="32"/>
        </w:rPr>
        <w:t>第一章  总  则</w:t>
      </w:r>
      <w:bookmarkEnd w:id="1"/>
    </w:p>
    <w:p>
      <w:pPr>
        <w:widowControl w:val="0"/>
        <w:numPr>
          <w:ilvl w:val="0"/>
          <w:numId w:val="2"/>
        </w:numPr>
        <w:overflowPunct w:val="0"/>
        <w:spacing w:line="360" w:lineRule="auto"/>
        <w:ind w:left="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目的和依据】为规范行政事业单位内部控制评价工作，促进内部控制的持续改进，不断提升内部控制有效性，根据《中华人民共和国会计法》及中央办公厅、国务院办公厅《关于进一步加强财会监督工作的意见》，《行政事业单位内部控制规范（试行）》（财会〔2012〕21号）、《关于全面推进行政事业单位内部控制建设的指导意见》（财会〔2015〕24号）等法律法规和相关规定，制定本办法。</w:t>
      </w:r>
    </w:p>
    <w:p>
      <w:pPr>
        <w:widowControl w:val="0"/>
        <w:numPr>
          <w:ilvl w:val="0"/>
          <w:numId w:val="2"/>
        </w:numPr>
        <w:overflowPunct w:val="0"/>
        <w:spacing w:line="360" w:lineRule="auto"/>
        <w:ind w:left="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【适用对象】本办法适用于各部门、各单位的内部控制评价工作。</w:t>
      </w:r>
    </w:p>
    <w:p>
      <w:pPr>
        <w:widowControl w:val="0"/>
        <w:overflowPunct w:val="0"/>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各部门是指与本级政府财政部门直接发生预算缴拨款关系的国家机关、政党组织、事业单位、社会团体和其他单位。各单位是指各部门本级及所属行政事业单位。</w:t>
      </w:r>
    </w:p>
    <w:p>
      <w:pPr>
        <w:widowControl w:val="0"/>
        <w:numPr>
          <w:ilvl w:val="0"/>
          <w:numId w:val="2"/>
        </w:numPr>
        <w:overflowPunct w:val="0"/>
        <w:spacing w:line="360" w:lineRule="auto"/>
        <w:ind w:left="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定义】本办法所称内部控制评价包括单位内部控制自我评价和部门内部控制评价两种方式。单位内部控制自我评价是指各单位对内部控制建立与实施情况进行综合评价、形成评价结果、出具评价报告的过程。部门内部控制评价是指各部门对本部门内部控制建立与实施整体情况进行评价、出具评价报告的过程。</w:t>
      </w:r>
    </w:p>
    <w:p>
      <w:pPr>
        <w:widowControl w:val="0"/>
        <w:numPr>
          <w:ilvl w:val="0"/>
          <w:numId w:val="2"/>
        </w:numPr>
        <w:overflowPunct w:val="0"/>
        <w:spacing w:line="360" w:lineRule="auto"/>
        <w:ind w:left="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【基本原则】内部控制评价应当遵循以下基本原则：</w:t>
      </w:r>
    </w:p>
    <w:p>
      <w:pPr>
        <w:widowControl w:val="0"/>
        <w:overflowPunct w:val="0"/>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（一）全面性原则。评价工作应当贯穿内部控制建立与实施各个环节，涵盖单位各类经济活动、相关业务活动和内部权力运行，综合反映单位的内部控制水平。</w:t>
      </w:r>
    </w:p>
    <w:p>
      <w:pPr>
        <w:widowControl w:val="0"/>
        <w:overflowPunct w:val="0"/>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（二）重要性原则。评价工作应当在全面评价的基础上，重点关注重要经济和业务事项及高风险领域，特别是权力集中、资金密集、资源富集的重点领域和关键岗位。</w:t>
      </w:r>
    </w:p>
    <w:p>
      <w:pPr>
        <w:widowControl w:val="0"/>
        <w:overflowPunct w:val="0"/>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（三）客观性原则。评价工作应当以</w:t>
      </w:r>
      <w:r>
        <w:rPr>
          <w:rFonts w:hint="eastAsia" w:ascii="仿宋_GB2312" w:hAnsi="仿宋_GB2312" w:eastAsia="仿宋_GB2312" w:cs="仿宋_GB2312"/>
          <w:kern w:val="1"/>
          <w:sz w:val="32"/>
          <w:szCs w:val="32"/>
        </w:rPr>
        <w:t>国家法律法规、制度规范以及单位内部管理制度等为依据，结合</w:t>
      </w:r>
      <w:r>
        <w:rPr>
          <w:rFonts w:hint="eastAsia" w:ascii="仿宋_GB2312" w:hAnsi="仿宋_GB2312" w:eastAsia="仿宋_GB2312" w:cs="仿宋_GB2312"/>
          <w:sz w:val="32"/>
          <w:szCs w:val="32"/>
        </w:rPr>
        <w:t>单位实际情况，如实反映内部控制建立与实施情况，采用定性和定量相结合的方式，客观公正地评价单位内部控制水平。</w:t>
      </w:r>
    </w:p>
    <w:p>
      <w:pPr>
        <w:widowControl w:val="0"/>
        <w:overflowPunct w:val="0"/>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（四）持续性原则。评价工作应当形成定期评价、问题整改、优化提升的管理闭环，不断提升单位内部控制水平。</w:t>
      </w:r>
    </w:p>
    <w:p>
      <w:pPr>
        <w:widowControl w:val="0"/>
        <w:numPr>
          <w:ilvl w:val="0"/>
          <w:numId w:val="2"/>
        </w:numPr>
        <w:overflowPunct w:val="0"/>
        <w:spacing w:line="360"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基本要求】各单位应当根据本办法和上级主管部门有关要求，结合单位内部控制建立与实施实际情况，制定具体的内部控制评价工作方案，明确相关机构或岗位的职责权限，按照规定的程序、方法和要求，有序开展内部控制评价工作。</w:t>
      </w:r>
    </w:p>
    <w:p>
      <w:pPr>
        <w:widowControl w:val="0"/>
        <w:overflowPunct w:val="0"/>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单位负责人对内部控制评价报告的真实性、完整性负责。</w:t>
      </w:r>
    </w:p>
    <w:p>
      <w:pPr>
        <w:widowControl w:val="0"/>
        <w:numPr>
          <w:ilvl w:val="0"/>
          <w:numId w:val="2"/>
        </w:numPr>
        <w:overflowPunct w:val="0"/>
        <w:spacing w:line="360"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【部门基本要求】各部门</w:t>
      </w:r>
      <w:r>
        <w:rPr>
          <w:rFonts w:hint="eastAsia" w:hAnsi="仿宋_GB2312" w:eastAsia="仿宋_GB2312" w:cs="仿宋_GB2312"/>
          <w:color w:val="000000"/>
          <w:sz w:val="32"/>
          <w:szCs w:val="32"/>
        </w:rPr>
        <w:t>应当按照管理权限，逐级对本部门所属单位内部控制自我评价报告实施复核，并出具复核意见。同时根据本部门实际情况，细化部门</w:t>
      </w:r>
      <w:r>
        <w:rPr>
          <w:rFonts w:hint="eastAsia" w:ascii="仿宋_GB2312" w:hAnsi="仿宋_GB2312" w:eastAsia="仿宋_GB2312" w:cs="仿宋_GB2312"/>
          <w:sz w:val="32"/>
          <w:szCs w:val="32"/>
        </w:rPr>
        <w:t>内部控制评价指标体系</w:t>
      </w:r>
      <w:r>
        <w:rPr>
          <w:rFonts w:hint="eastAsia" w:hAnsi="仿宋_GB2312" w:eastAsia="仿宋_GB2312" w:cs="仿宋_GB2312"/>
          <w:sz w:val="32"/>
          <w:szCs w:val="32"/>
        </w:rPr>
        <w:t>，</w:t>
      </w:r>
      <w:r>
        <w:rPr>
          <w:rFonts w:hint="eastAsia" w:hAnsi="仿宋_GB2312" w:eastAsia="仿宋_GB2312" w:cs="仿宋_GB2312"/>
          <w:color w:val="000000"/>
          <w:sz w:val="32"/>
          <w:szCs w:val="32"/>
        </w:rPr>
        <w:t>对本部门</w:t>
      </w:r>
      <w:r>
        <w:rPr>
          <w:rFonts w:hAnsi="仿宋_GB2312" w:eastAsia="仿宋_GB2312" w:cs="仿宋_GB2312"/>
          <w:sz w:val="32"/>
          <w:szCs w:val="32"/>
        </w:rPr>
        <w:t>内部控制</w:t>
      </w:r>
      <w:r>
        <w:rPr>
          <w:rFonts w:hint="eastAsia" w:hAnsi="仿宋_GB2312" w:eastAsia="仿宋_GB2312" w:cs="仿宋_GB2312"/>
          <w:sz w:val="32"/>
          <w:szCs w:val="32"/>
        </w:rPr>
        <w:t>建立与实施整体情况</w:t>
      </w:r>
      <w:r>
        <w:rPr>
          <w:rFonts w:hint="eastAsia" w:hAnsi="仿宋_GB2312" w:eastAsia="仿宋_GB2312" w:cs="仿宋_GB2312"/>
          <w:color w:val="000000"/>
          <w:sz w:val="32"/>
          <w:szCs w:val="32"/>
        </w:rPr>
        <w:t>进行评价。</w:t>
      </w:r>
    </w:p>
    <w:p>
      <w:pPr>
        <w:widowControl w:val="0"/>
        <w:numPr>
          <w:ilvl w:val="0"/>
          <w:numId w:val="2"/>
        </w:numPr>
        <w:overflowPunct w:val="0"/>
        <w:spacing w:line="360"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【财政部门基本要求】各级政府财政部门应当结合有关部门内部控制评价情况，每年抽取一定比例的部门，对其内部控制评价整体情况进行监督检查，督促各部门持续完善内部控制体系。</w:t>
      </w:r>
    </w:p>
    <w:p>
      <w:pPr>
        <w:widowControl w:val="0"/>
        <w:numPr>
          <w:ilvl w:val="0"/>
          <w:numId w:val="2"/>
        </w:numPr>
        <w:overflowPunct w:val="0"/>
        <w:spacing w:line="360"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【信息化要求】鼓励各部门、各单位采用信息化手段，开展内部控制评价相关工作。</w:t>
      </w:r>
    </w:p>
    <w:p>
      <w:pPr>
        <w:pStyle w:val="5"/>
        <w:widowControl w:val="0"/>
        <w:overflowPunct w:val="0"/>
        <w:spacing w:before="163" w:beforeLines="50" w:after="163" w:afterLines="50"/>
        <w:jc w:val="center"/>
        <w:rPr>
          <w:rFonts w:ascii="黑体" w:hAnsi="黑体" w:eastAsia="黑体" w:cs="黑体"/>
          <w:b w:val="0"/>
          <w:bCs w:val="0"/>
          <w:sz w:val="32"/>
          <w:szCs w:val="32"/>
        </w:rPr>
      </w:pPr>
      <w:r>
        <w:rPr>
          <w:rFonts w:hint="eastAsia" w:ascii="黑体" w:hAnsi="黑体" w:eastAsia="黑体" w:cs="黑体"/>
          <w:b w:val="0"/>
          <w:bCs w:val="0"/>
          <w:sz w:val="32"/>
          <w:szCs w:val="32"/>
        </w:rPr>
        <w:t>第二章  单位内部控制自我评价</w:t>
      </w:r>
    </w:p>
    <w:p>
      <w:pPr>
        <w:widowControl w:val="0"/>
        <w:numPr>
          <w:ilvl w:val="0"/>
          <w:numId w:val="2"/>
        </w:numPr>
        <w:overflowPunct w:val="0"/>
        <w:spacing w:line="360" w:lineRule="auto"/>
        <w:ind w:left="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评价部门】各单位应当指定内部审计部门或专门机构（以下简称内部控制评价部门）负责组织实施本单位内部控制自我评价工作。单位内部控制评价部门（岗位）应当与内部控制建设牵头部门（岗位）相互分离。</w:t>
      </w:r>
    </w:p>
    <w:p>
      <w:pPr>
        <w:widowControl w:val="0"/>
        <w:overflowPunct w:val="0"/>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单位根据需要可以委托第三方机构协助实施内部控制评价。为单位提供内部控制建设服务的第三方机构，不得同时为同一单位提供内部控制评价服务。</w:t>
      </w:r>
    </w:p>
    <w:p>
      <w:pPr>
        <w:widowControl w:val="0"/>
        <w:numPr>
          <w:ilvl w:val="0"/>
          <w:numId w:val="2"/>
        </w:numPr>
        <w:overflowPunct w:val="0"/>
        <w:spacing w:line="360"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【评价工作方案】内部控制评价部门应当制定评价工作方案，明确评价范围、工作任务、人员组织、进度安排等相关内容，报经单位负责人审批后实施。</w:t>
      </w:r>
    </w:p>
    <w:p>
      <w:pPr>
        <w:widowControl w:val="0"/>
        <w:numPr>
          <w:ilvl w:val="0"/>
          <w:numId w:val="2"/>
        </w:numPr>
        <w:overflowPunct w:val="0"/>
        <w:spacing w:line="360" w:lineRule="auto"/>
        <w:ind w:left="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【评价内容】单位内部控制自我评价的主要内容包括：</w:t>
      </w:r>
    </w:p>
    <w:p>
      <w:pPr>
        <w:pStyle w:val="15"/>
        <w:ind w:firstLine="640" w:firstLineChars="200"/>
        <w:rPr>
          <w:rFonts w:hint="eastAsia" w:ascii="仿宋_GB2312" w:eastAsia="仿宋_GB2312"/>
          <w:sz w:val="32"/>
          <w:szCs w:val="32"/>
        </w:rPr>
      </w:pPr>
      <w:r>
        <w:rPr>
          <w:rFonts w:hint="eastAsia" w:ascii="仿宋_GB2312" w:eastAsia="仿宋_GB2312"/>
          <w:sz w:val="32"/>
          <w:szCs w:val="32"/>
        </w:rPr>
        <w:t>单位层面内部控制情况。包括议事决策机制、权力制衡机制、内部控制信息系统建立与实施情况，以及其他补充指标；</w:t>
      </w:r>
    </w:p>
    <w:p>
      <w:pPr>
        <w:pStyle w:val="15"/>
        <w:ind w:firstLine="640" w:firstLineChars="200"/>
        <w:rPr>
          <w:rFonts w:hint="eastAsia" w:ascii="仿宋_GB2312" w:eastAsia="仿宋_GB2312"/>
          <w:sz w:val="32"/>
          <w:szCs w:val="32"/>
        </w:rPr>
      </w:pPr>
      <w:r>
        <w:rPr>
          <w:rFonts w:hint="eastAsia" w:ascii="仿宋_GB2312" w:eastAsia="仿宋_GB2312"/>
          <w:sz w:val="32"/>
          <w:szCs w:val="32"/>
        </w:rPr>
        <w:t>业务层面内部控制情况。包括预算、收支、政府采购、资产、建设项目、合同等各类经济活动和相关业务活动内部控制制度、流程的建立与实施情况；</w:t>
      </w:r>
    </w:p>
    <w:p>
      <w:pPr>
        <w:pStyle w:val="15"/>
        <w:ind w:firstLine="640" w:firstLineChars="200"/>
        <w:rPr>
          <w:rFonts w:hint="eastAsia" w:ascii="仿宋_GB2312" w:eastAsia="仿宋_GB2312"/>
          <w:sz w:val="32"/>
          <w:szCs w:val="32"/>
        </w:rPr>
      </w:pPr>
      <w:r>
        <w:rPr>
          <w:rFonts w:hint="eastAsia" w:ascii="仿宋_GB2312" w:eastAsia="仿宋_GB2312"/>
          <w:sz w:val="32"/>
          <w:szCs w:val="32"/>
        </w:rPr>
        <w:t>内部监督情况。包括内部监督制度建立和实施情况；</w:t>
      </w:r>
    </w:p>
    <w:p>
      <w:pPr>
        <w:pStyle w:val="15"/>
        <w:ind w:firstLine="640" w:firstLineChars="200"/>
        <w:rPr>
          <w:rFonts w:hint="eastAsia" w:ascii="仿宋_GB2312" w:eastAsia="仿宋_GB2312"/>
          <w:sz w:val="32"/>
          <w:szCs w:val="32"/>
        </w:rPr>
      </w:pPr>
      <w:r>
        <w:rPr>
          <w:rFonts w:hint="eastAsia" w:ascii="仿宋_GB2312" w:eastAsia="仿宋_GB2312"/>
          <w:sz w:val="32"/>
          <w:szCs w:val="32"/>
        </w:rPr>
        <w:t>其他情况。包括单位收到的各级政府财政部门、上级主管部门或其他部门内部控制相关表彰、批评等情况。</w:t>
      </w:r>
    </w:p>
    <w:p>
      <w:pPr>
        <w:widowControl w:val="0"/>
        <w:numPr>
          <w:ilvl w:val="0"/>
          <w:numId w:val="2"/>
        </w:numPr>
        <w:overflowPunct w:val="0"/>
        <w:spacing w:line="360" w:lineRule="auto"/>
        <w:ind w:left="80" w:firstLine="713" w:firstLineChars="223"/>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价方法】单位应当根据内部控制有关要求和本单位职能职责、业务特点，综合运用询问访谈、调查问卷、专题讨论、穿行测试、实地查验、抽样和比较分析等方法，充分收集有效证据，对单位内部控制进行全面客观评价。</w:t>
      </w:r>
    </w:p>
    <w:p>
      <w:pPr>
        <w:widowControl w:val="0"/>
        <w:numPr>
          <w:ilvl w:val="0"/>
          <w:numId w:val="2"/>
        </w:numPr>
        <w:overflowPunct w:val="0"/>
        <w:spacing w:line="360" w:lineRule="auto"/>
        <w:ind w:left="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工作底稿】单位应当建立内部控制自我评价工作过程记录和档案管理制度。评价工作应当形成工作底稿，详细记录执行评价工作的过程，包括评价方法、各项评价指标的内容、得分情况、评价结果及其认定依据、评价人员等。</w:t>
      </w:r>
    </w:p>
    <w:p>
      <w:pPr>
        <w:widowControl w:val="0"/>
        <w:overflowPunct w:val="0"/>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单位应当妥善保管评价的有关文件资料、工作底稿和证明材料等。</w:t>
      </w:r>
    </w:p>
    <w:p>
      <w:pPr>
        <w:widowControl w:val="0"/>
        <w:numPr>
          <w:ilvl w:val="0"/>
          <w:numId w:val="2"/>
        </w:numPr>
        <w:overflowPunct w:val="0"/>
        <w:spacing w:line="360" w:lineRule="auto"/>
        <w:ind w:left="0" w:firstLine="640" w:firstLineChars="200"/>
        <w:jc w:val="both"/>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【评价得分】单位应当根据《行政事业单位内部控制评价指标体系》（附1），结合评价工作底稿，对每一项评价指标进行评价打分。所有评价指标的得分总和，即为单位内部控制自我评价得分。</w:t>
      </w:r>
    </w:p>
    <w:p>
      <w:pPr>
        <w:widowControl w:val="0"/>
        <w:numPr>
          <w:ilvl w:val="0"/>
          <w:numId w:val="2"/>
        </w:numPr>
        <w:overflowPunct w:val="0"/>
        <w:spacing w:line="360" w:lineRule="auto"/>
        <w:ind w:left="0" w:firstLine="640" w:firstLineChars="200"/>
        <w:jc w:val="both"/>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【评价结果】内部控制自我评价结果采取定性与定量相结合的方式，划分为优、良、中、差四个档次。90（含）至100分为“优”、80（含）至90分为“良”、60（含）至80分为“中”、60分以下为“差”。</w:t>
      </w:r>
    </w:p>
    <w:p>
      <w:pPr>
        <w:widowControl w:val="0"/>
        <w:overflowPunct w:val="0"/>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内部控制自我评价结果的认定应当符合单位内部控制建立与实施实际情况。单位发生与内部控制相关的违法违纪行为的，内部控制评价结果下调一个档次。</w:t>
      </w:r>
    </w:p>
    <w:p>
      <w:pPr>
        <w:widowControl w:val="0"/>
        <w:numPr>
          <w:ilvl w:val="0"/>
          <w:numId w:val="2"/>
        </w:numPr>
        <w:overflowPunct w:val="0"/>
        <w:spacing w:line="360" w:lineRule="auto"/>
        <w:ind w:left="0" w:firstLine="640" w:firstLineChars="200"/>
        <w:jc w:val="both"/>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【评价报告】单位应当根据内部控制评价得分和评价结果等材料，参考《行政事业单位内部控制自我评价报告（参考格式）》（附2），形成内部控制自我评价报告及相关材料。</w:t>
      </w:r>
    </w:p>
    <w:p>
      <w:pPr>
        <w:widowControl w:val="0"/>
        <w:numPr>
          <w:ilvl w:val="0"/>
          <w:numId w:val="2"/>
        </w:numPr>
        <w:overflowPunct w:val="0"/>
        <w:spacing w:line="360" w:lineRule="auto"/>
        <w:ind w:left="0" w:firstLine="640" w:firstLineChars="200"/>
        <w:jc w:val="both"/>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【报告基准日】单位应当以1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月3</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日作为年度内部控制自我评价报告的基准日，并于基准日后3个月内完成内部控制评价工作。</w:t>
      </w:r>
    </w:p>
    <w:p>
      <w:pPr>
        <w:widowControl w:val="0"/>
        <w:numPr>
          <w:ilvl w:val="0"/>
          <w:numId w:val="2"/>
        </w:numPr>
        <w:overflowPunct w:val="0"/>
        <w:spacing w:line="360" w:lineRule="auto"/>
        <w:ind w:left="0" w:firstLine="640" w:firstLineChars="200"/>
        <w:jc w:val="both"/>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对外报送】单位应按照同级政府财政部门和上级主管部门要求，在报送行政事业单位内部控制报告时，报送经单位负责人签字并加盖单位公章的内部控制自我评价报告、内部控制自我评价指标体系得分情况等相关材料。</w:t>
      </w:r>
    </w:p>
    <w:p>
      <w:pPr>
        <w:widowControl w:val="0"/>
        <w:numPr>
          <w:ilvl w:val="0"/>
          <w:numId w:val="2"/>
        </w:numPr>
        <w:overflowPunct w:val="0"/>
        <w:spacing w:line="360" w:lineRule="auto"/>
        <w:ind w:left="0" w:firstLine="640" w:firstLineChars="200"/>
        <w:jc w:val="both"/>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主管部门复核】各部门根据平时本部门管理与监督中掌握的情况和所属单位内部控制自我评价底稿及自评得分情况，结合行政事业单位内部控制报告审核工作安排，分级组织实施对所属单位内部控制自我评价得分的复核工作。各部门复核发现所属单位内部控制自我评价过程中存在未识别的内部控制问题的，</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按照《行政事业单位内部控制自我评价指标体系》中相关评分标准，调整单位内部控制评价自评得分，形成《年度内部控制自我评价复核意见书》（附3），并及时向被评价单位反馈相关得分调整情况。经各级主管部门复核调整后的得分，为单位内部控制评价最终得分。</w:t>
      </w:r>
    </w:p>
    <w:p>
      <w:pPr>
        <w:pStyle w:val="5"/>
        <w:widowControl w:val="0"/>
        <w:overflowPunct w:val="0"/>
        <w:spacing w:before="163" w:beforeLines="50" w:after="163" w:afterLines="50"/>
        <w:jc w:val="center"/>
        <w:rPr>
          <w:rFonts w:ascii="黑体" w:hAnsi="黑体" w:eastAsia="黑体" w:cs="黑体"/>
          <w:b w:val="0"/>
          <w:bCs w:val="0"/>
          <w:sz w:val="32"/>
          <w:szCs w:val="32"/>
        </w:rPr>
      </w:pPr>
      <w:r>
        <w:rPr>
          <w:rFonts w:hint="eastAsia" w:ascii="黑体" w:hAnsi="黑体" w:eastAsia="黑体" w:cs="黑体"/>
          <w:b w:val="0"/>
          <w:bCs w:val="0"/>
          <w:sz w:val="32"/>
          <w:szCs w:val="32"/>
        </w:rPr>
        <w:t>第三章  部门内部控制评价</w:t>
      </w:r>
    </w:p>
    <w:p>
      <w:pPr>
        <w:widowControl w:val="0"/>
        <w:numPr>
          <w:ilvl w:val="0"/>
          <w:numId w:val="2"/>
        </w:numPr>
        <w:overflowPunct w:val="0"/>
        <w:spacing w:line="360" w:lineRule="auto"/>
        <w:ind w:left="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【评价部门】各部门应当指定内部审计机构或专门机构负责组织实施</w:t>
      </w:r>
      <w:r>
        <w:rPr>
          <w:rFonts w:hint="eastAsia" w:hAnsi="仿宋_GB2312" w:eastAsia="仿宋_GB2312" w:cs="仿宋_GB2312"/>
          <w:color w:val="000000"/>
          <w:sz w:val="32"/>
          <w:szCs w:val="32"/>
        </w:rPr>
        <w:t>对本部门</w:t>
      </w:r>
      <w:r>
        <w:rPr>
          <w:rFonts w:hAnsi="仿宋_GB2312" w:eastAsia="仿宋_GB2312" w:cs="仿宋_GB2312"/>
          <w:sz w:val="32"/>
          <w:szCs w:val="32"/>
        </w:rPr>
        <w:t>内部控制</w:t>
      </w:r>
      <w:r>
        <w:rPr>
          <w:rFonts w:hint="eastAsia" w:hAnsi="仿宋_GB2312" w:eastAsia="仿宋_GB2312" w:cs="仿宋_GB2312"/>
          <w:sz w:val="32"/>
          <w:szCs w:val="32"/>
        </w:rPr>
        <w:t>建立与实施整体情况的</w:t>
      </w:r>
      <w:r>
        <w:rPr>
          <w:rFonts w:hint="eastAsia" w:hAnsi="仿宋_GB2312" w:eastAsia="仿宋_GB2312" w:cs="仿宋_GB2312"/>
          <w:color w:val="000000"/>
          <w:sz w:val="32"/>
          <w:szCs w:val="32"/>
        </w:rPr>
        <w:t>评价工作。</w:t>
      </w:r>
      <w:r>
        <w:rPr>
          <w:rFonts w:hint="eastAsia" w:ascii="仿宋_GB2312" w:hAnsi="仿宋_GB2312" w:eastAsia="仿宋_GB2312" w:cs="仿宋_GB2312"/>
          <w:sz w:val="32"/>
          <w:szCs w:val="32"/>
        </w:rPr>
        <w:t>未设立下属单位的部门不再开展部门内部控制评价，参照单位内部控制自我评价对部门本级开展评价。</w:t>
      </w:r>
    </w:p>
    <w:p>
      <w:pPr>
        <w:widowControl w:val="0"/>
        <w:numPr>
          <w:ilvl w:val="0"/>
          <w:numId w:val="2"/>
        </w:numPr>
        <w:overflowPunct w:val="0"/>
        <w:spacing w:line="360" w:lineRule="auto"/>
        <w:ind w:left="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【评价内容】对</w:t>
      </w:r>
      <w:r>
        <w:rPr>
          <w:rFonts w:hint="eastAsia" w:hAnsi="仿宋_GB2312" w:eastAsia="仿宋_GB2312" w:cs="仿宋_GB2312"/>
          <w:color w:val="000000"/>
          <w:sz w:val="32"/>
          <w:szCs w:val="32"/>
        </w:rPr>
        <w:t>本部门</w:t>
      </w:r>
      <w:r>
        <w:rPr>
          <w:rFonts w:hAnsi="仿宋_GB2312" w:eastAsia="仿宋_GB2312" w:cs="仿宋_GB2312"/>
          <w:sz w:val="32"/>
          <w:szCs w:val="32"/>
        </w:rPr>
        <w:t>内部控制</w:t>
      </w:r>
      <w:r>
        <w:rPr>
          <w:rFonts w:hint="eastAsia" w:hAnsi="仿宋_GB2312" w:eastAsia="仿宋_GB2312" w:cs="仿宋_GB2312"/>
          <w:sz w:val="32"/>
          <w:szCs w:val="32"/>
        </w:rPr>
        <w:t>建立与实施整体情况实施评价，</w:t>
      </w:r>
      <w:r>
        <w:rPr>
          <w:rFonts w:hint="eastAsia" w:ascii="仿宋_GB2312" w:hAnsi="仿宋_GB2312" w:eastAsia="仿宋_GB2312" w:cs="仿宋_GB2312"/>
          <w:sz w:val="32"/>
          <w:szCs w:val="32"/>
        </w:rPr>
        <w:t>主要包括以下四个方面：</w:t>
      </w:r>
    </w:p>
    <w:p>
      <w:pPr>
        <w:pStyle w:val="15"/>
        <w:numPr>
          <w:ilvl w:val="0"/>
          <w:numId w:val="3"/>
        </w:numPr>
        <w:ind w:firstLine="640" w:firstLineChars="200"/>
        <w:rPr>
          <w:rFonts w:ascii="仿宋_GB2312" w:eastAsia="仿宋_GB2312"/>
          <w:sz w:val="32"/>
          <w:szCs w:val="32"/>
        </w:rPr>
      </w:pPr>
      <w:r>
        <w:rPr>
          <w:rFonts w:hint="eastAsia" w:ascii="仿宋_GB2312" w:hAnsi="仿宋_GB2312" w:eastAsia="仿宋_GB2312" w:cs="仿宋_GB2312"/>
          <w:sz w:val="32"/>
          <w:szCs w:val="32"/>
        </w:rPr>
        <w:t>部门在</w:t>
      </w:r>
      <w:r>
        <w:rPr>
          <w:rFonts w:hint="eastAsia" w:ascii="仿宋_GB2312" w:eastAsia="仿宋_GB2312"/>
          <w:sz w:val="32"/>
          <w:szCs w:val="32"/>
        </w:rPr>
        <w:t>单位层面内部控制、业务层面内部控制、内部监督等方面的整体情况；</w:t>
      </w:r>
    </w:p>
    <w:p>
      <w:pPr>
        <w:pStyle w:val="15"/>
        <w:numPr>
          <w:ilvl w:val="0"/>
          <w:numId w:val="3"/>
        </w:numPr>
        <w:ind w:firstLine="640" w:firstLineChars="200"/>
        <w:rPr>
          <w:rFonts w:ascii="仿宋_GB2312" w:eastAsia="仿宋_GB2312"/>
          <w:sz w:val="32"/>
          <w:szCs w:val="32"/>
        </w:rPr>
      </w:pPr>
      <w:r>
        <w:rPr>
          <w:rFonts w:hint="eastAsia" w:ascii="仿宋_GB2312" w:hAnsi="仿宋_GB2312" w:eastAsia="仿宋_GB2312" w:cs="仿宋_GB2312"/>
          <w:sz w:val="32"/>
          <w:szCs w:val="32"/>
        </w:rPr>
        <w:t>部门本级及所属单位</w:t>
      </w:r>
      <w:r>
        <w:rPr>
          <w:rFonts w:hint="eastAsia" w:ascii="仿宋_GB2312" w:eastAsia="仿宋_GB2312"/>
          <w:sz w:val="32"/>
          <w:szCs w:val="32"/>
        </w:rPr>
        <w:t>内部控制自我评价开展情况和内部控制评价结果应用情况；</w:t>
      </w:r>
    </w:p>
    <w:p>
      <w:pPr>
        <w:pStyle w:val="15"/>
        <w:ind w:firstLine="640" w:firstLineChars="200"/>
        <w:rPr>
          <w:rFonts w:ascii="仿宋_GB2312" w:eastAsia="仿宋_GB2312"/>
          <w:sz w:val="32"/>
          <w:szCs w:val="32"/>
        </w:rPr>
      </w:pPr>
      <w:r>
        <w:rPr>
          <w:rFonts w:hint="eastAsia" w:ascii="仿宋_GB2312" w:eastAsia="仿宋_GB2312"/>
          <w:sz w:val="32"/>
          <w:szCs w:val="32"/>
        </w:rPr>
        <w:t>部门根据履职范围和行业特点，自行制定的评价指标。</w:t>
      </w:r>
    </w:p>
    <w:p>
      <w:pPr>
        <w:pStyle w:val="15"/>
        <w:ind w:firstLine="640" w:firstLineChars="200"/>
        <w:rPr>
          <w:rFonts w:ascii="仿宋_GB2312" w:eastAsia="仿宋_GB2312"/>
          <w:sz w:val="32"/>
          <w:szCs w:val="32"/>
        </w:rPr>
      </w:pPr>
      <w:r>
        <w:rPr>
          <w:rFonts w:hint="eastAsia" w:ascii="仿宋_GB2312" w:eastAsia="仿宋_GB2312"/>
          <w:sz w:val="32"/>
          <w:szCs w:val="32"/>
        </w:rPr>
        <w:t>其他情况。包括收到的各级政府财政部门、上级主管部门或其他部门内部控制相关表彰、批评等情况。</w:t>
      </w:r>
    </w:p>
    <w:p>
      <w:pPr>
        <w:widowControl w:val="0"/>
        <w:numPr>
          <w:ilvl w:val="0"/>
          <w:numId w:val="2"/>
        </w:numPr>
        <w:overflowPunct w:val="0"/>
        <w:spacing w:line="360" w:lineRule="auto"/>
        <w:ind w:left="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【实施评价】各部门应当在复核部门本级及所属单位内部控制自我评价结果及相关材料的基础上，完善《部门内部控制评价指标体系》（附4），形成本部门的内部控制评价指标体系，并参考单位内部控制</w:t>
      </w:r>
      <w:r>
        <w:rPr>
          <w:rFonts w:hint="eastAsia" w:ascii="仿宋_GB2312" w:hAnsi="仿宋_GB2312" w:eastAsia="仿宋_GB2312" w:cs="仿宋_GB2312"/>
          <w:sz w:val="32"/>
          <w:szCs w:val="32"/>
          <w:lang w:eastAsia="zh-CN"/>
        </w:rPr>
        <w:t>自我</w:t>
      </w:r>
      <w:r>
        <w:rPr>
          <w:rFonts w:hint="eastAsia" w:ascii="仿宋_GB2312" w:hAnsi="仿宋_GB2312" w:eastAsia="仿宋_GB2312" w:cs="仿宋_GB2312"/>
          <w:sz w:val="32"/>
          <w:szCs w:val="32"/>
        </w:rPr>
        <w:t>评价的程序和方法，对</w:t>
      </w:r>
      <w:r>
        <w:rPr>
          <w:rFonts w:hint="eastAsia" w:hAnsi="仿宋_GB2312" w:eastAsia="仿宋_GB2312" w:cs="仿宋_GB2312"/>
          <w:color w:val="000000"/>
          <w:sz w:val="32"/>
          <w:szCs w:val="32"/>
        </w:rPr>
        <w:t>本部门</w:t>
      </w:r>
      <w:r>
        <w:rPr>
          <w:rFonts w:hAnsi="仿宋_GB2312" w:eastAsia="仿宋_GB2312" w:cs="仿宋_GB2312"/>
          <w:sz w:val="32"/>
          <w:szCs w:val="32"/>
        </w:rPr>
        <w:t>内部控制</w:t>
      </w:r>
      <w:r>
        <w:rPr>
          <w:rFonts w:hint="eastAsia" w:hAnsi="仿宋_GB2312" w:eastAsia="仿宋_GB2312" w:cs="仿宋_GB2312"/>
          <w:sz w:val="32"/>
          <w:szCs w:val="32"/>
        </w:rPr>
        <w:t>建立与实施整体情况</w:t>
      </w:r>
      <w:r>
        <w:rPr>
          <w:rFonts w:hint="eastAsia" w:ascii="仿宋_GB2312" w:hAnsi="仿宋_GB2312" w:eastAsia="仿宋_GB2312" w:cs="仿宋_GB2312"/>
          <w:sz w:val="32"/>
          <w:szCs w:val="32"/>
        </w:rPr>
        <w:t>开展评价，形成部门内部控制评价报告（附5）。</w:t>
      </w:r>
    </w:p>
    <w:p>
      <w:pPr>
        <w:widowControl w:val="0"/>
        <w:numPr>
          <w:ilvl w:val="0"/>
          <w:numId w:val="2"/>
        </w:numPr>
        <w:overflowPunct w:val="0"/>
        <w:spacing w:line="360" w:lineRule="auto"/>
        <w:ind w:left="0" w:firstLine="640" w:firstLineChars="200"/>
        <w:jc w:val="both"/>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【评价基准日】各部门应当以1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月3</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日作为年度内部控制评价的基准日，并于基准日后5个月内完成部门内部控制评价工作。</w:t>
      </w:r>
    </w:p>
    <w:p>
      <w:pPr>
        <w:widowControl w:val="0"/>
        <w:numPr>
          <w:ilvl w:val="0"/>
          <w:numId w:val="2"/>
        </w:numPr>
        <w:overflowPunct w:val="0"/>
        <w:spacing w:line="360"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【对外报送】各部门</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lang w:val="en"/>
        </w:rPr>
        <w:t>按</w:t>
      </w:r>
      <w:r>
        <w:rPr>
          <w:rFonts w:hint="eastAsia" w:ascii="仿宋_GB2312" w:hAnsi="仿宋_GB2312" w:eastAsia="仿宋_GB2312" w:cs="仿宋_GB2312"/>
          <w:sz w:val="32"/>
          <w:szCs w:val="32"/>
        </w:rPr>
        <w:t>同级政府财政部门要求，在报送行政事业单位内部控制报告时，报送部门内部控制评价报告、评价指标体系得分情况等相关材料。</w:t>
      </w:r>
    </w:p>
    <w:p>
      <w:pPr>
        <w:pStyle w:val="5"/>
        <w:widowControl w:val="0"/>
        <w:overflowPunct w:val="0"/>
        <w:spacing w:before="163" w:beforeLines="50" w:after="163" w:afterLines="50"/>
        <w:jc w:val="center"/>
        <w:rPr>
          <w:rFonts w:ascii="黑体" w:hAnsi="黑体" w:eastAsia="黑体" w:cs="黑体"/>
          <w:b w:val="0"/>
          <w:bCs w:val="0"/>
          <w:sz w:val="32"/>
          <w:szCs w:val="32"/>
        </w:rPr>
      </w:pPr>
      <w:bookmarkStart w:id="2" w:name="_Toc116152772"/>
      <w:r>
        <w:rPr>
          <w:rFonts w:hint="eastAsia" w:ascii="黑体" w:hAnsi="黑体" w:eastAsia="黑体" w:cs="黑体"/>
          <w:b w:val="0"/>
          <w:bCs w:val="0"/>
          <w:sz w:val="32"/>
          <w:szCs w:val="32"/>
        </w:rPr>
        <w:t>第四章  财政部门内部控制评价监督检查</w:t>
      </w:r>
    </w:p>
    <w:p>
      <w:pPr>
        <w:widowControl w:val="0"/>
        <w:numPr>
          <w:ilvl w:val="0"/>
          <w:numId w:val="4"/>
        </w:numPr>
        <w:overflowPunct w:val="0"/>
        <w:spacing w:line="360" w:lineRule="auto"/>
        <w:ind w:left="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【财政监督检查的主体】各级政府财政部门负责组织实施同级政府各部门内部控制评价监督检查工作。</w:t>
      </w:r>
    </w:p>
    <w:p>
      <w:pPr>
        <w:widowControl w:val="0"/>
        <w:numPr>
          <w:ilvl w:val="0"/>
          <w:numId w:val="2"/>
        </w:numPr>
        <w:overflowPunct w:val="0"/>
        <w:spacing w:line="360" w:lineRule="auto"/>
        <w:ind w:left="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【财政监督检查内容】各级政府财政部门应当在获取各部门内部控制评价结果和相关材料的基础上，对各部门内部控制评价整体情况开展监督检查。主要包括以下三个方面：</w:t>
      </w:r>
    </w:p>
    <w:p>
      <w:pPr>
        <w:pStyle w:val="15"/>
        <w:numPr>
          <w:ilvl w:val="0"/>
          <w:numId w:val="5"/>
        </w:numPr>
        <w:ind w:firstLine="640" w:firstLineChars="200"/>
        <w:rPr>
          <w:rFonts w:ascii="仿宋_GB2312" w:eastAsia="仿宋_GB2312"/>
          <w:sz w:val="32"/>
          <w:szCs w:val="32"/>
        </w:rPr>
      </w:pPr>
      <w:r>
        <w:rPr>
          <w:rFonts w:hint="eastAsia" w:ascii="仿宋_GB2312" w:eastAsia="仿宋_GB2312"/>
          <w:sz w:val="32"/>
          <w:szCs w:val="32"/>
        </w:rPr>
        <w:t>核查部门内部控制评价反映的单位层面内部控制、业务层面内部控制、内部监督等方面情况；</w:t>
      </w:r>
    </w:p>
    <w:p>
      <w:pPr>
        <w:pStyle w:val="15"/>
        <w:numPr>
          <w:ilvl w:val="0"/>
          <w:numId w:val="3"/>
        </w:numPr>
        <w:ind w:firstLine="640" w:firstLineChars="200"/>
        <w:rPr>
          <w:rFonts w:ascii="仿宋_GB2312" w:eastAsia="仿宋_GB2312"/>
          <w:sz w:val="32"/>
          <w:szCs w:val="32"/>
        </w:rPr>
      </w:pPr>
      <w:r>
        <w:rPr>
          <w:rFonts w:hint="eastAsia" w:ascii="仿宋_GB2312" w:eastAsia="仿宋_GB2312"/>
          <w:sz w:val="32"/>
          <w:szCs w:val="32"/>
        </w:rPr>
        <w:t>核查部门内部控制评价的组织实施情况和内部控制评价结果应用情况；</w:t>
      </w:r>
    </w:p>
    <w:p>
      <w:pPr>
        <w:pStyle w:val="15"/>
        <w:ind w:firstLine="640" w:firstLineChars="200"/>
        <w:rPr>
          <w:rFonts w:ascii="仿宋_GB2312" w:eastAsia="仿宋_GB2312"/>
          <w:sz w:val="32"/>
          <w:szCs w:val="32"/>
        </w:rPr>
      </w:pPr>
      <w:r>
        <w:rPr>
          <w:rFonts w:hint="eastAsia" w:ascii="仿宋_GB2312" w:eastAsia="仿宋_GB2312"/>
          <w:sz w:val="32"/>
          <w:szCs w:val="32"/>
        </w:rPr>
        <w:t>核查部门落实各级政府财政部门其他内部控制有关要求的情况等。</w:t>
      </w:r>
    </w:p>
    <w:p>
      <w:pPr>
        <w:widowControl w:val="0"/>
        <w:numPr>
          <w:ilvl w:val="0"/>
          <w:numId w:val="4"/>
        </w:numPr>
        <w:overflowPunct w:val="0"/>
        <w:spacing w:line="360" w:lineRule="auto"/>
        <w:ind w:left="-120" w:firstLine="7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【监督检查范围和频率】各级政府财政部门应当结合行政事业单位内部控制报告审核工作安排，每年抽取一定比例的同级政府部门，对其内部控制评价工作开展监督检查</w:t>
      </w:r>
      <w:r>
        <w:rPr>
          <w:rFonts w:hint="eastAsia" w:ascii="仿宋_GB2312" w:hAnsi="仿宋_GB2312" w:eastAsia="仿宋_GB2312" w:cs="仿宋_GB2312"/>
          <w:sz w:val="32"/>
          <w:szCs w:val="32"/>
          <w:lang w:eastAsia="zh-CN"/>
        </w:rPr>
        <w:t>，对于</w:t>
      </w:r>
      <w:r>
        <w:rPr>
          <w:rFonts w:hint="eastAsia" w:ascii="仿宋_GB2312" w:hAnsi="仿宋_GB2312" w:eastAsia="仿宋_GB2312" w:cs="仿宋_GB2312"/>
          <w:sz w:val="32"/>
          <w:szCs w:val="32"/>
        </w:rPr>
        <w:t>新设立的部门</w:t>
      </w:r>
      <w:r>
        <w:rPr>
          <w:rFonts w:hint="eastAsia" w:ascii="仿宋_GB2312" w:hAnsi="仿宋_GB2312" w:eastAsia="仿宋_GB2312" w:cs="仿宋_GB2312"/>
          <w:sz w:val="32"/>
          <w:szCs w:val="32"/>
          <w:lang w:eastAsia="zh-CN"/>
        </w:rPr>
        <w:t>应当及时</w:t>
      </w:r>
      <w:r>
        <w:rPr>
          <w:rFonts w:hint="eastAsia" w:ascii="仿宋_GB2312" w:hAnsi="仿宋_GB2312" w:eastAsia="仿宋_GB2312" w:cs="仿宋_GB2312"/>
          <w:sz w:val="32"/>
          <w:szCs w:val="32"/>
        </w:rPr>
        <w:t>纳入监督检查范围。</w:t>
      </w:r>
    </w:p>
    <w:p>
      <w:pPr>
        <w:widowControl w:val="0"/>
        <w:numPr>
          <w:ilvl w:val="0"/>
          <w:numId w:val="4"/>
        </w:numPr>
        <w:overflowPunct w:val="0"/>
        <w:spacing w:line="360" w:lineRule="auto"/>
        <w:ind w:left="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实施监督检查】各级政府财政部门应当采取查阅内部控制评价报告等资料、现场检查等方式，对有关部门内部控制评价情况进行监督检查，并向被检查部门反馈检查结果。如检查结果与内部控制评价结果不一致，可要求被检查部门调整部门内部控制评价结果。</w:t>
      </w:r>
    </w:p>
    <w:bookmarkEnd w:id="2"/>
    <w:p>
      <w:pPr>
        <w:pStyle w:val="5"/>
        <w:widowControl w:val="0"/>
        <w:overflowPunct w:val="0"/>
        <w:spacing w:before="163" w:beforeLines="50" w:after="163" w:afterLines="50"/>
        <w:jc w:val="center"/>
        <w:rPr>
          <w:rFonts w:ascii="黑体" w:hAnsi="黑体" w:eastAsia="黑体" w:cs="黑体"/>
          <w:b w:val="0"/>
          <w:bCs w:val="0"/>
          <w:sz w:val="32"/>
          <w:szCs w:val="32"/>
        </w:rPr>
      </w:pPr>
      <w:bookmarkStart w:id="3" w:name="_Toc116152773"/>
      <w:r>
        <w:rPr>
          <w:rFonts w:hint="eastAsia" w:ascii="黑体" w:hAnsi="黑体" w:eastAsia="黑体" w:cs="黑体"/>
          <w:b w:val="0"/>
          <w:bCs w:val="0"/>
          <w:sz w:val="32"/>
          <w:szCs w:val="32"/>
        </w:rPr>
        <w:t>第五章  评价结果应用</w:t>
      </w:r>
      <w:bookmarkEnd w:id="3"/>
    </w:p>
    <w:p>
      <w:pPr>
        <w:widowControl w:val="0"/>
        <w:numPr>
          <w:ilvl w:val="0"/>
          <w:numId w:val="4"/>
        </w:numPr>
        <w:overflowPunct w:val="0"/>
        <w:spacing w:line="360" w:lineRule="auto"/>
        <w:ind w:left="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问题整改】针对内部控制评价中反映的突出问题和薄弱环节，各单位应当认真查找问题原因，及时制定整改措施，进一步完善单位内部控制体系。各级政府财政部门、各部门应当跟踪有关单位的整改情况，督促其按要求完成整改工作。</w:t>
      </w:r>
    </w:p>
    <w:p>
      <w:pPr>
        <w:widowControl w:val="0"/>
        <w:numPr>
          <w:ilvl w:val="0"/>
          <w:numId w:val="4"/>
        </w:numPr>
        <w:overflowPunct w:val="0"/>
        <w:spacing w:line="360"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【结果应用】各单位、各部门应当切实加强内部控制评价结果的分析应用，将评价结果作为完善内部管理制度、预算安排、绩效管理、财会监督的依据，作为监督问责、领导干部选拔任用的参考。</w:t>
      </w:r>
    </w:p>
    <w:p>
      <w:pPr>
        <w:widowControl w:val="0"/>
        <w:numPr>
          <w:ilvl w:val="0"/>
          <w:numId w:val="4"/>
        </w:numPr>
        <w:overflowPunct w:val="0"/>
        <w:ind w:lef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【与其他监督方式的协同】各单位、各部门应当加强</w:t>
      </w:r>
      <w:r>
        <w:rPr>
          <w:rFonts w:hint="eastAsia" w:ascii="仿宋_GB2312" w:hAnsi="仿宋_GB2312" w:eastAsia="仿宋_GB2312" w:cs="仿宋_GB2312"/>
          <w:sz w:val="32"/>
          <w:szCs w:val="32"/>
          <w:lang w:bidi="ar"/>
        </w:rPr>
        <w:t>内部控制评价与财会监督、巡视巡察、纪检监察、审计等监督工作</w:t>
      </w:r>
      <w:r>
        <w:rPr>
          <w:rFonts w:hint="eastAsia" w:ascii="仿宋_GB2312" w:hAnsi="仿宋_GB2312" w:eastAsia="仿宋_GB2312" w:cs="仿宋_GB2312"/>
          <w:sz w:val="32"/>
          <w:szCs w:val="32"/>
        </w:rPr>
        <w:t>有机贯通、相互协调和信息共享，形成监督合力，提高内部控制评价结果应用的效率和效果。</w:t>
      </w:r>
    </w:p>
    <w:p>
      <w:pPr>
        <w:pStyle w:val="5"/>
        <w:widowControl w:val="0"/>
        <w:overflowPunct w:val="0"/>
        <w:spacing w:before="163" w:beforeLines="50" w:after="163" w:afterLines="50"/>
        <w:jc w:val="center"/>
        <w:rPr>
          <w:rFonts w:ascii="黑体" w:hAnsi="黑体" w:eastAsia="黑体" w:cs="黑体"/>
          <w:b w:val="0"/>
          <w:bCs w:val="0"/>
          <w:sz w:val="32"/>
          <w:szCs w:val="32"/>
        </w:rPr>
      </w:pPr>
      <w:r>
        <w:rPr>
          <w:rFonts w:hint="eastAsia" w:ascii="黑体" w:hAnsi="黑体" w:eastAsia="黑体" w:cs="黑体"/>
          <w:b w:val="0"/>
          <w:bCs w:val="0"/>
          <w:sz w:val="32"/>
          <w:szCs w:val="32"/>
        </w:rPr>
        <w:t>第六章  附  则</w:t>
      </w:r>
    </w:p>
    <w:p>
      <w:pPr>
        <w:widowControl w:val="0"/>
        <w:numPr>
          <w:ilvl w:val="0"/>
          <w:numId w:val="4"/>
        </w:numPr>
        <w:overflowPunct w:val="0"/>
        <w:spacing w:line="360" w:lineRule="auto"/>
        <w:ind w:left="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【实施细则】各地区、各部门应当结合实际制定具体的实施细则。</w:t>
      </w:r>
    </w:p>
    <w:p>
      <w:pPr>
        <w:widowControl w:val="0"/>
        <w:numPr>
          <w:ilvl w:val="0"/>
          <w:numId w:val="4"/>
        </w:numPr>
        <w:overflowPunct w:val="0"/>
        <w:spacing w:line="360" w:lineRule="auto"/>
        <w:ind w:left="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【生效日期】本办法自印发之日起施行。</w:t>
      </w:r>
    </w:p>
    <w:p>
      <w:pPr>
        <w:widowControl w:val="0"/>
        <w:overflowPunct w:val="0"/>
        <w:spacing w:line="360" w:lineRule="auto"/>
        <w:ind w:firstLine="640"/>
        <w:jc w:val="both"/>
        <w:rPr>
          <w:rFonts w:ascii="仿宋_GB2312" w:hAnsi="仿宋_GB2312" w:eastAsia="仿宋_GB2312" w:cs="仿宋_GB2312"/>
          <w:sz w:val="32"/>
          <w:szCs w:val="32"/>
        </w:rPr>
      </w:pPr>
    </w:p>
    <w:p>
      <w:pPr>
        <w:widowControl w:val="0"/>
        <w:overflowPunct w:val="0"/>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行政事业单位内部控制自我评价指标体系</w:t>
      </w:r>
    </w:p>
    <w:p>
      <w:pPr>
        <w:widowControl w:val="0"/>
        <w:overflowPunct w:val="0"/>
        <w:spacing w:line="360" w:lineRule="auto"/>
        <w:ind w:firstLine="1280" w:firstLineChars="4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单位年度内部控制自我评价报告（参考格式）</w:t>
      </w:r>
    </w:p>
    <w:p>
      <w:pPr>
        <w:widowControl w:val="0"/>
        <w:overflowPunct w:val="0"/>
        <w:spacing w:line="360" w:lineRule="auto"/>
        <w:ind w:firstLine="1280" w:firstLineChars="4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年度内部控制自我评价复核意见书</w:t>
      </w:r>
    </w:p>
    <w:p>
      <w:pPr>
        <w:widowControl w:val="0"/>
        <w:overflowPunct w:val="0"/>
        <w:spacing w:line="360" w:lineRule="auto"/>
        <w:ind w:firstLine="1280" w:firstLineChars="4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部门内部控制评价指标体系</w:t>
      </w:r>
    </w:p>
    <w:p>
      <w:pPr>
        <w:pStyle w:val="2"/>
        <w:ind w:firstLine="1280" w:firstLineChars="400"/>
        <w:rPr>
          <w:rFonts w:hint="eastAsia" w:hAnsi="仿宋_GB2312" w:eastAsia="仿宋_GB2312" w:cs="仿宋_GB2312"/>
          <w:sz w:val="32"/>
          <w:szCs w:val="32"/>
        </w:rPr>
        <w:sectPr>
          <w:footerReference r:id="rId3" w:type="default"/>
          <w:pgSz w:w="11906" w:h="16838"/>
          <w:pgMar w:top="1440" w:right="1800" w:bottom="1440" w:left="1800" w:header="851" w:footer="992" w:gutter="0"/>
          <w:cols w:space="720" w:num="1"/>
          <w:docGrid w:type="lines" w:linePitch="326" w:charSpace="0"/>
        </w:sectPr>
      </w:pPr>
      <w:r>
        <w:rPr>
          <w:rFonts w:hint="eastAsia" w:hAnsi="仿宋_GB2312" w:eastAsia="仿宋_GB2312" w:cs="仿宋_GB2312"/>
          <w:sz w:val="32"/>
          <w:szCs w:val="32"/>
        </w:rPr>
        <w:t>5</w:t>
      </w:r>
      <w:r>
        <w:rPr>
          <w:rFonts w:hint="eastAsia" w:hAnsi="仿宋_GB2312" w:eastAsia="仿宋_GB2312" w:cs="仿宋_GB2312"/>
          <w:sz w:val="32"/>
          <w:szCs w:val="32"/>
          <w:lang w:val="en-US" w:eastAsia="zh-CN"/>
        </w:rPr>
        <w:t>.</w:t>
      </w:r>
      <w:r>
        <w:rPr>
          <w:rFonts w:hint="eastAsia" w:hAnsi="仿宋_GB2312" w:eastAsia="仿宋_GB2312" w:cs="仿宋_GB2312"/>
          <w:sz w:val="32"/>
          <w:szCs w:val="32"/>
        </w:rPr>
        <w:t>部门内部控制评价报告（参考格式）</w:t>
      </w:r>
    </w:p>
    <w:p>
      <w:pPr>
        <w:widowControl w:val="0"/>
        <w:overflowPunct w:val="0"/>
        <w:spacing w:line="360" w:lineRule="auto"/>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附1</w:t>
      </w:r>
    </w:p>
    <w:p>
      <w:pPr>
        <w:widowControl w:val="0"/>
        <w:overflowPunct w:val="0"/>
        <w:spacing w:line="360" w:lineRule="auto"/>
        <w:ind w:firstLine="720" w:firstLineChars="20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行政事业单位内部控制自我评价指标体系</w:t>
      </w:r>
    </w:p>
    <w:tbl>
      <w:tblPr>
        <w:tblStyle w:val="10"/>
        <w:tblW w:w="15327" w:type="dxa"/>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304"/>
        <w:gridCol w:w="113"/>
        <w:gridCol w:w="1722"/>
        <w:gridCol w:w="4304"/>
        <w:gridCol w:w="796"/>
        <w:gridCol w:w="5478"/>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50" w:type="dxa"/>
            <w:noWrap w:val="0"/>
            <w:vAlign w:val="center"/>
          </w:tcPr>
          <w:p>
            <w:pPr>
              <w:jc w:val="center"/>
              <w:textAlignment w:val="center"/>
              <w:rPr>
                <w:rFonts w:hint="eastAsia" w:ascii="宋体" w:hAnsi="宋体" w:cs="宋体"/>
                <w:b/>
                <w:color w:val="000000"/>
                <w:sz w:val="22"/>
                <w:szCs w:val="22"/>
              </w:rPr>
            </w:pPr>
            <w:r>
              <w:rPr>
                <w:rFonts w:hint="eastAsia" w:ascii="宋体" w:hAnsi="宋体" w:cs="宋体"/>
                <w:b/>
                <w:color w:val="000000"/>
                <w:sz w:val="22"/>
                <w:szCs w:val="22"/>
              </w:rPr>
              <w:t>评价</w:t>
            </w:r>
          </w:p>
          <w:p>
            <w:pPr>
              <w:jc w:val="center"/>
              <w:textAlignment w:val="center"/>
              <w:rPr>
                <w:rFonts w:ascii="宋体" w:hAnsi="宋体" w:cs="宋体"/>
                <w:b/>
                <w:color w:val="000000"/>
                <w:sz w:val="22"/>
                <w:szCs w:val="22"/>
              </w:rPr>
            </w:pPr>
            <w:r>
              <w:rPr>
                <w:rFonts w:hint="eastAsia" w:ascii="宋体" w:hAnsi="宋体" w:cs="宋体"/>
                <w:b/>
                <w:color w:val="000000"/>
                <w:sz w:val="22"/>
                <w:szCs w:val="22"/>
              </w:rPr>
              <w:t>类别</w:t>
            </w:r>
          </w:p>
        </w:tc>
        <w:tc>
          <w:tcPr>
            <w:tcW w:w="1417" w:type="dxa"/>
            <w:gridSpan w:val="2"/>
            <w:noWrap w:val="0"/>
            <w:vAlign w:val="center"/>
          </w:tcPr>
          <w:p>
            <w:pPr>
              <w:jc w:val="center"/>
              <w:textAlignment w:val="center"/>
              <w:rPr>
                <w:rFonts w:hint="eastAsia" w:ascii="宋体" w:hAnsi="宋体" w:cs="宋体"/>
                <w:b/>
                <w:color w:val="000000"/>
                <w:sz w:val="22"/>
                <w:szCs w:val="22"/>
                <w:lang w:bidi="ar"/>
              </w:rPr>
            </w:pPr>
            <w:r>
              <w:rPr>
                <w:rFonts w:hint="eastAsia" w:ascii="宋体" w:hAnsi="宋体" w:cs="宋体"/>
                <w:b/>
                <w:color w:val="000000"/>
                <w:sz w:val="22"/>
                <w:szCs w:val="22"/>
                <w:lang w:bidi="ar"/>
              </w:rPr>
              <w:t>一级评价</w:t>
            </w:r>
          </w:p>
          <w:p>
            <w:pPr>
              <w:jc w:val="center"/>
              <w:textAlignment w:val="center"/>
              <w:rPr>
                <w:rFonts w:hint="eastAsia" w:ascii="宋体" w:hAnsi="宋体" w:cs="宋体"/>
                <w:b/>
                <w:color w:val="000000"/>
                <w:sz w:val="22"/>
                <w:szCs w:val="22"/>
              </w:rPr>
            </w:pPr>
            <w:r>
              <w:rPr>
                <w:rFonts w:hint="eastAsia" w:ascii="宋体" w:hAnsi="宋体" w:cs="宋体"/>
                <w:b/>
                <w:color w:val="000000"/>
                <w:sz w:val="22"/>
                <w:szCs w:val="22"/>
                <w:lang w:bidi="ar"/>
              </w:rPr>
              <w:t>指标</w:t>
            </w:r>
          </w:p>
        </w:tc>
        <w:tc>
          <w:tcPr>
            <w:tcW w:w="1722" w:type="dxa"/>
            <w:noWrap w:val="0"/>
            <w:vAlign w:val="center"/>
          </w:tcPr>
          <w:p>
            <w:pPr>
              <w:jc w:val="center"/>
              <w:textAlignment w:val="center"/>
              <w:rPr>
                <w:rFonts w:hint="eastAsia" w:ascii="宋体" w:hAnsi="宋体" w:cs="宋体"/>
                <w:b/>
                <w:color w:val="000000"/>
                <w:sz w:val="22"/>
                <w:szCs w:val="22"/>
              </w:rPr>
            </w:pPr>
            <w:r>
              <w:rPr>
                <w:rFonts w:hint="eastAsia" w:ascii="宋体" w:hAnsi="宋体" w:cs="宋体"/>
                <w:b/>
                <w:color w:val="000000"/>
                <w:sz w:val="22"/>
                <w:szCs w:val="22"/>
                <w:lang w:bidi="ar"/>
              </w:rPr>
              <w:t>二级评价指标</w:t>
            </w:r>
          </w:p>
        </w:tc>
        <w:tc>
          <w:tcPr>
            <w:tcW w:w="4304" w:type="dxa"/>
            <w:noWrap w:val="0"/>
            <w:vAlign w:val="center"/>
          </w:tcPr>
          <w:p>
            <w:pPr>
              <w:jc w:val="center"/>
              <w:textAlignment w:val="center"/>
              <w:rPr>
                <w:rFonts w:hint="eastAsia" w:ascii="宋体" w:hAnsi="宋体" w:cs="宋体"/>
                <w:b/>
                <w:color w:val="000000"/>
                <w:sz w:val="22"/>
                <w:szCs w:val="22"/>
              </w:rPr>
            </w:pPr>
            <w:r>
              <w:rPr>
                <w:rFonts w:hint="eastAsia" w:ascii="宋体" w:hAnsi="宋体" w:cs="宋体"/>
                <w:b/>
                <w:color w:val="000000"/>
                <w:sz w:val="22"/>
                <w:szCs w:val="22"/>
                <w:lang w:bidi="ar"/>
              </w:rPr>
              <w:t>评价内容</w:t>
            </w:r>
          </w:p>
        </w:tc>
        <w:tc>
          <w:tcPr>
            <w:tcW w:w="796" w:type="dxa"/>
            <w:noWrap w:val="0"/>
            <w:vAlign w:val="center"/>
          </w:tcPr>
          <w:p>
            <w:pPr>
              <w:jc w:val="center"/>
              <w:textAlignment w:val="center"/>
              <w:rPr>
                <w:rFonts w:hint="eastAsia" w:ascii="宋体" w:hAnsi="宋体" w:cs="宋体"/>
                <w:b/>
                <w:color w:val="000000"/>
                <w:sz w:val="22"/>
                <w:szCs w:val="22"/>
              </w:rPr>
            </w:pPr>
            <w:r>
              <w:rPr>
                <w:rFonts w:hint="eastAsia" w:ascii="宋体" w:hAnsi="宋体" w:cs="宋体"/>
                <w:b/>
                <w:color w:val="000000"/>
                <w:sz w:val="22"/>
                <w:szCs w:val="22"/>
                <w:lang w:bidi="ar"/>
              </w:rPr>
              <w:t>分值</w:t>
            </w:r>
          </w:p>
        </w:tc>
        <w:tc>
          <w:tcPr>
            <w:tcW w:w="5478" w:type="dxa"/>
            <w:noWrap w:val="0"/>
            <w:vAlign w:val="center"/>
          </w:tcPr>
          <w:p>
            <w:pPr>
              <w:jc w:val="center"/>
              <w:textAlignment w:val="center"/>
              <w:rPr>
                <w:rFonts w:hint="eastAsia" w:ascii="宋体" w:hAnsi="宋体" w:cs="宋体"/>
                <w:b/>
                <w:color w:val="000000"/>
                <w:sz w:val="22"/>
                <w:szCs w:val="22"/>
                <w:lang w:bidi="ar"/>
              </w:rPr>
            </w:pPr>
            <w:r>
              <w:rPr>
                <w:rFonts w:hint="eastAsia" w:ascii="宋体" w:hAnsi="宋体" w:cs="宋体"/>
                <w:b/>
                <w:color w:val="000000"/>
                <w:sz w:val="22"/>
                <w:szCs w:val="22"/>
                <w:lang w:bidi="ar"/>
              </w:rPr>
              <w:t>评分细则</w:t>
            </w:r>
          </w:p>
        </w:tc>
        <w:tc>
          <w:tcPr>
            <w:tcW w:w="660" w:type="dxa"/>
            <w:noWrap w:val="0"/>
            <w:vAlign w:val="center"/>
          </w:tcPr>
          <w:p>
            <w:pPr>
              <w:jc w:val="center"/>
              <w:textAlignment w:val="center"/>
              <w:rPr>
                <w:rFonts w:hint="eastAsia" w:ascii="宋体" w:hAnsi="宋体" w:cs="宋体"/>
                <w:b/>
                <w:color w:val="000000"/>
                <w:sz w:val="22"/>
                <w:szCs w:val="22"/>
                <w:lang w:bidi="ar"/>
              </w:rPr>
            </w:pPr>
            <w:r>
              <w:rPr>
                <w:rFonts w:hint="eastAsia" w:ascii="宋体" w:hAnsi="宋体" w:cs="宋体"/>
                <w:b/>
                <w:color w:val="000000"/>
                <w:sz w:val="22"/>
                <w:szCs w:val="22"/>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950" w:type="dxa"/>
            <w:vMerge w:val="restart"/>
            <w:noWrap w:val="0"/>
            <w:vAlign w:val="center"/>
          </w:tcPr>
          <w:p>
            <w:pPr>
              <w:jc w:val="center"/>
              <w:rPr>
                <w:rFonts w:hint="eastAsia" w:ascii="宋体" w:hAnsi="宋体" w:cs="宋体"/>
                <w:color w:val="000000"/>
                <w:sz w:val="22"/>
                <w:szCs w:val="22"/>
              </w:rPr>
            </w:pPr>
            <w:r>
              <w:rPr>
                <w:rFonts w:hint="eastAsia" w:ascii="宋体" w:hAnsi="宋体" w:cs="宋体"/>
                <w:color w:val="000000"/>
                <w:sz w:val="22"/>
                <w:szCs w:val="22"/>
              </w:rPr>
              <w:t>一、单位层面内部控制</w:t>
            </w:r>
          </w:p>
          <w:p>
            <w:pPr>
              <w:jc w:val="center"/>
              <w:textAlignment w:val="center"/>
              <w:rPr>
                <w:rFonts w:hint="eastAsia" w:ascii="宋体" w:hAnsi="宋体" w:cs="宋体"/>
                <w:color w:val="000000"/>
                <w:sz w:val="22"/>
                <w:szCs w:val="22"/>
              </w:rPr>
            </w:pPr>
          </w:p>
        </w:tc>
        <w:tc>
          <w:tcPr>
            <w:tcW w:w="1417" w:type="dxa"/>
            <w:gridSpan w:val="2"/>
            <w:noWrap w:val="0"/>
            <w:vAlign w:val="center"/>
          </w:tcPr>
          <w:p>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议事决策机制</w:t>
            </w:r>
          </w:p>
        </w:tc>
        <w:tc>
          <w:tcPr>
            <w:tcW w:w="1722" w:type="dxa"/>
            <w:noWrap w:val="0"/>
            <w:vAlign w:val="center"/>
          </w:tcPr>
          <w:p>
            <w:pPr>
              <w:textAlignment w:val="center"/>
              <w:rPr>
                <w:rFonts w:ascii="宋体" w:hAnsi="宋体" w:cs="宋体"/>
                <w:color w:val="000000"/>
                <w:sz w:val="22"/>
                <w:szCs w:val="22"/>
              </w:rPr>
            </w:pPr>
            <w:r>
              <w:rPr>
                <w:rFonts w:hint="eastAsia" w:ascii="宋体" w:hAnsi="宋体" w:cs="宋体"/>
                <w:color w:val="000000"/>
                <w:sz w:val="22"/>
                <w:szCs w:val="22"/>
                <w:lang w:bidi="ar"/>
              </w:rPr>
              <w:t>“三重一大”集体决策机制建立与实施</w:t>
            </w:r>
          </w:p>
        </w:tc>
        <w:tc>
          <w:tcPr>
            <w:tcW w:w="4304" w:type="dxa"/>
            <w:noWrap w:val="0"/>
            <w:vAlign w:val="center"/>
          </w:tcPr>
          <w:p>
            <w:pPr>
              <w:jc w:val="both"/>
              <w:textAlignment w:val="center"/>
              <w:rPr>
                <w:rFonts w:hint="eastAsia" w:ascii="宋体" w:hAnsi="宋体" w:cs="宋体"/>
                <w:color w:val="000000"/>
                <w:sz w:val="22"/>
                <w:szCs w:val="22"/>
              </w:rPr>
            </w:pPr>
            <w:r>
              <w:rPr>
                <w:rFonts w:hint="eastAsia" w:ascii="宋体" w:hAnsi="宋体" w:cs="宋体"/>
                <w:color w:val="000000"/>
                <w:sz w:val="22"/>
                <w:szCs w:val="22"/>
                <w:lang w:bidi="ar"/>
              </w:rPr>
              <w:t>单位是否建立“三重一大”集体决策机制，明确重大事项的划分标准、议事规则及会议记录过程等内容，并严格执行。</w:t>
            </w:r>
          </w:p>
        </w:tc>
        <w:tc>
          <w:tcPr>
            <w:tcW w:w="796" w:type="dxa"/>
            <w:noWrap w:val="0"/>
            <w:vAlign w:val="center"/>
          </w:tcPr>
          <w:p>
            <w:pPr>
              <w:jc w:val="center"/>
              <w:rPr>
                <w:rFonts w:hint="eastAsia" w:ascii="宋体" w:hAnsi="宋体" w:cs="宋体"/>
                <w:color w:val="000000"/>
                <w:sz w:val="22"/>
                <w:szCs w:val="22"/>
              </w:rPr>
            </w:pPr>
            <w:r>
              <w:rPr>
                <w:rFonts w:hint="eastAsia" w:ascii="宋体" w:hAnsi="宋体" w:cs="宋体"/>
                <w:color w:val="000000"/>
                <w:sz w:val="22"/>
                <w:szCs w:val="22"/>
              </w:rPr>
              <w:t>5</w:t>
            </w:r>
          </w:p>
        </w:tc>
        <w:tc>
          <w:tcPr>
            <w:tcW w:w="5478" w:type="dxa"/>
            <w:noWrap w:val="0"/>
            <w:vAlign w:val="center"/>
          </w:tcPr>
          <w:p>
            <w:pPr>
              <w:rPr>
                <w:rFonts w:hint="eastAsia" w:ascii="宋体" w:hAnsi="宋体" w:cs="宋体"/>
                <w:color w:val="000000"/>
                <w:sz w:val="22"/>
                <w:szCs w:val="22"/>
              </w:rPr>
            </w:pPr>
            <w:r>
              <w:rPr>
                <w:rFonts w:hint="eastAsia" w:ascii="宋体" w:hAnsi="宋体" w:cs="宋体"/>
                <w:color w:val="000000"/>
                <w:sz w:val="22"/>
                <w:szCs w:val="22"/>
              </w:rPr>
              <w:t>已建立健全并有效实施集体决策机制的，得满分；机制设计不完善、不明确或未严格执行的，视情况</w:t>
            </w:r>
            <w:r>
              <w:rPr>
                <w:rFonts w:hint="eastAsia" w:ascii="宋体" w:hAnsi="宋体" w:cs="宋体"/>
                <w:color w:val="000000"/>
                <w:sz w:val="22"/>
                <w:szCs w:val="22"/>
                <w:lang w:bidi="ar"/>
              </w:rPr>
              <w:t>扣1-5分</w:t>
            </w:r>
            <w:r>
              <w:rPr>
                <w:rFonts w:hint="eastAsia" w:ascii="宋体" w:hAnsi="宋体" w:cs="宋体"/>
                <w:color w:val="000000"/>
                <w:sz w:val="22"/>
                <w:szCs w:val="22"/>
              </w:rPr>
              <w:t>。</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417" w:type="dxa"/>
            <w:gridSpan w:val="2"/>
            <w:vMerge w:val="restart"/>
            <w:noWrap w:val="0"/>
            <w:vAlign w:val="center"/>
          </w:tcPr>
          <w:p>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权力制衡机制</w:t>
            </w:r>
          </w:p>
        </w:tc>
        <w:tc>
          <w:tcPr>
            <w:tcW w:w="1722" w:type="dxa"/>
            <w:noWrap w:val="0"/>
            <w:vAlign w:val="center"/>
          </w:tcPr>
          <w:p>
            <w:pPr>
              <w:textAlignment w:val="center"/>
              <w:rPr>
                <w:rFonts w:hint="eastAsia" w:ascii="宋体" w:hAnsi="宋体" w:cs="宋体"/>
                <w:color w:val="000000"/>
                <w:sz w:val="22"/>
                <w:szCs w:val="22"/>
              </w:rPr>
            </w:pPr>
            <w:r>
              <w:rPr>
                <w:rFonts w:hint="eastAsia" w:ascii="宋体" w:hAnsi="宋体" w:cs="宋体"/>
                <w:color w:val="000000"/>
                <w:sz w:val="22"/>
                <w:szCs w:val="22"/>
                <w:lang w:bidi="ar"/>
              </w:rPr>
              <w:t>分事行权</w:t>
            </w:r>
          </w:p>
        </w:tc>
        <w:tc>
          <w:tcPr>
            <w:tcW w:w="4304" w:type="dxa"/>
            <w:noWrap w:val="0"/>
            <w:vAlign w:val="center"/>
          </w:tcPr>
          <w:p>
            <w:pPr>
              <w:jc w:val="both"/>
              <w:textAlignment w:val="center"/>
              <w:rPr>
                <w:rFonts w:hint="eastAsia" w:ascii="宋体" w:hAnsi="宋体" w:cs="宋体"/>
                <w:color w:val="000000"/>
                <w:sz w:val="22"/>
                <w:szCs w:val="22"/>
              </w:rPr>
            </w:pPr>
            <w:r>
              <w:rPr>
                <w:rFonts w:hint="eastAsia" w:ascii="宋体" w:hAnsi="宋体" w:cs="宋体"/>
                <w:color w:val="000000"/>
                <w:sz w:val="22"/>
                <w:szCs w:val="22"/>
                <w:lang w:bidi="ar"/>
              </w:rPr>
              <w:t>对经济业务活动的决策、执行、监督，单位是否明确分工、相互分离、分别行权。</w:t>
            </w:r>
          </w:p>
        </w:tc>
        <w:tc>
          <w:tcPr>
            <w:tcW w:w="796" w:type="dxa"/>
            <w:noWrap w:val="0"/>
            <w:vAlign w:val="center"/>
          </w:tcPr>
          <w:p>
            <w:pPr>
              <w:jc w:val="center"/>
              <w:rPr>
                <w:rFonts w:ascii="宋体" w:hAnsi="宋体" w:cs="宋体"/>
                <w:color w:val="000000"/>
                <w:sz w:val="22"/>
                <w:szCs w:val="22"/>
              </w:rPr>
            </w:pPr>
            <w:r>
              <w:rPr>
                <w:rFonts w:hint="eastAsia" w:ascii="宋体" w:hAnsi="宋体" w:cs="宋体"/>
                <w:color w:val="000000"/>
                <w:sz w:val="22"/>
                <w:szCs w:val="22"/>
              </w:rPr>
              <w:t>2</w:t>
            </w:r>
          </w:p>
        </w:tc>
        <w:tc>
          <w:tcPr>
            <w:tcW w:w="5478" w:type="dxa"/>
            <w:noWrap w:val="0"/>
            <w:vAlign w:val="center"/>
          </w:tcPr>
          <w:p>
            <w:pPr>
              <w:rPr>
                <w:rFonts w:hint="eastAsia" w:ascii="宋体" w:hAnsi="宋体" w:cs="宋体"/>
                <w:color w:val="000000"/>
                <w:sz w:val="22"/>
                <w:szCs w:val="22"/>
              </w:rPr>
            </w:pPr>
            <w:r>
              <w:rPr>
                <w:rFonts w:hint="eastAsia" w:ascii="宋体" w:hAnsi="宋体" w:cs="宋体"/>
                <w:color w:val="000000"/>
                <w:sz w:val="22"/>
                <w:szCs w:val="22"/>
              </w:rPr>
              <w:t>已建立健全分事行权机制并有效实施的，得满分；机制建立不完善、覆盖不全面或未严格执行的，视情况</w:t>
            </w:r>
            <w:r>
              <w:rPr>
                <w:rFonts w:hint="eastAsia" w:ascii="宋体" w:hAnsi="宋体" w:cs="宋体"/>
                <w:color w:val="000000"/>
                <w:sz w:val="22"/>
                <w:szCs w:val="22"/>
                <w:lang w:bidi="ar"/>
              </w:rPr>
              <w:t>扣0.5-2分</w:t>
            </w:r>
            <w:r>
              <w:rPr>
                <w:rFonts w:hint="eastAsia" w:ascii="宋体" w:hAnsi="宋体" w:cs="宋体"/>
                <w:color w:val="000000"/>
                <w:sz w:val="22"/>
                <w:szCs w:val="22"/>
              </w:rPr>
              <w:t>。</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950" w:type="dxa"/>
            <w:vMerge w:val="continue"/>
            <w:noWrap w:val="0"/>
            <w:vAlign w:val="center"/>
          </w:tcPr>
          <w:p>
            <w:pPr>
              <w:jc w:val="center"/>
              <w:textAlignment w:val="center"/>
              <w:rPr>
                <w:rFonts w:hint="eastAsia" w:ascii="宋体" w:hAnsi="宋体" w:cs="宋体"/>
                <w:color w:val="000000"/>
                <w:sz w:val="22"/>
                <w:szCs w:val="22"/>
              </w:rPr>
            </w:pPr>
          </w:p>
        </w:tc>
        <w:tc>
          <w:tcPr>
            <w:tcW w:w="1417" w:type="dxa"/>
            <w:gridSpan w:val="2"/>
            <w:vMerge w:val="continue"/>
            <w:noWrap w:val="0"/>
            <w:vAlign w:val="center"/>
          </w:tcPr>
          <w:p>
            <w:pPr>
              <w:jc w:val="center"/>
              <w:textAlignment w:val="center"/>
              <w:rPr>
                <w:rFonts w:hint="eastAsia" w:ascii="宋体" w:hAnsi="宋体" w:cs="宋体"/>
                <w:color w:val="000000"/>
                <w:sz w:val="22"/>
                <w:szCs w:val="22"/>
                <w:lang w:bidi="ar"/>
              </w:rPr>
            </w:pPr>
          </w:p>
        </w:tc>
        <w:tc>
          <w:tcPr>
            <w:tcW w:w="1722" w:type="dxa"/>
            <w:noWrap w:val="0"/>
            <w:vAlign w:val="center"/>
          </w:tcPr>
          <w:p>
            <w:pPr>
              <w:textAlignment w:val="center"/>
              <w:rPr>
                <w:rFonts w:hint="eastAsia" w:ascii="宋体" w:hAnsi="宋体" w:cs="宋体"/>
                <w:color w:val="000000"/>
                <w:sz w:val="22"/>
                <w:szCs w:val="22"/>
              </w:rPr>
            </w:pPr>
            <w:r>
              <w:rPr>
                <w:rFonts w:hint="eastAsia" w:ascii="宋体" w:hAnsi="宋体" w:cs="宋体"/>
                <w:color w:val="000000"/>
                <w:sz w:val="22"/>
                <w:szCs w:val="22"/>
                <w:lang w:bidi="ar"/>
              </w:rPr>
              <w:t>分岗设权</w:t>
            </w:r>
          </w:p>
        </w:tc>
        <w:tc>
          <w:tcPr>
            <w:tcW w:w="4304" w:type="dxa"/>
            <w:noWrap w:val="0"/>
            <w:vAlign w:val="center"/>
          </w:tcPr>
          <w:p>
            <w:pPr>
              <w:jc w:val="both"/>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单位是否编制岗位说明书，明确岗位责任，确保单位关键岗位实现不相容岗位相互分离。</w:t>
            </w:r>
          </w:p>
        </w:tc>
        <w:tc>
          <w:tcPr>
            <w:tcW w:w="796" w:type="dxa"/>
            <w:noWrap w:val="0"/>
            <w:vAlign w:val="center"/>
          </w:tcPr>
          <w:p>
            <w:pPr>
              <w:jc w:val="center"/>
              <w:rPr>
                <w:rFonts w:hint="eastAsia" w:ascii="宋体" w:hAnsi="宋体" w:cs="宋体"/>
                <w:color w:val="000000"/>
                <w:sz w:val="22"/>
                <w:szCs w:val="22"/>
              </w:rPr>
            </w:pPr>
            <w:r>
              <w:rPr>
                <w:rFonts w:hint="eastAsia" w:ascii="宋体" w:hAnsi="宋体" w:cs="宋体"/>
                <w:color w:val="000000"/>
                <w:sz w:val="22"/>
                <w:szCs w:val="22"/>
              </w:rPr>
              <w:t>2</w:t>
            </w:r>
          </w:p>
        </w:tc>
        <w:tc>
          <w:tcPr>
            <w:tcW w:w="5478" w:type="dxa"/>
            <w:noWrap w:val="0"/>
            <w:vAlign w:val="center"/>
          </w:tcPr>
          <w:p>
            <w:pPr>
              <w:rPr>
                <w:rFonts w:hint="eastAsia" w:ascii="宋体" w:hAnsi="宋体" w:cs="宋体"/>
                <w:color w:val="000000"/>
                <w:sz w:val="22"/>
                <w:szCs w:val="22"/>
              </w:rPr>
            </w:pPr>
            <w:r>
              <w:rPr>
                <w:rFonts w:hint="eastAsia" w:ascii="宋体" w:hAnsi="宋体" w:cs="宋体"/>
                <w:color w:val="000000"/>
                <w:sz w:val="22"/>
                <w:szCs w:val="22"/>
              </w:rPr>
              <w:t>已规范建立分岗设权机制并有效实施的，得满分；机制建立不完善、覆盖不全面或未严格执行的，视情况</w:t>
            </w:r>
            <w:r>
              <w:rPr>
                <w:rFonts w:hint="eastAsia" w:ascii="宋体" w:hAnsi="宋体" w:cs="宋体"/>
                <w:color w:val="000000"/>
                <w:sz w:val="22"/>
                <w:szCs w:val="22"/>
                <w:lang w:bidi="ar"/>
              </w:rPr>
              <w:t>扣0.5-2分</w:t>
            </w:r>
            <w:r>
              <w:rPr>
                <w:rFonts w:hint="eastAsia" w:ascii="宋体" w:hAnsi="宋体" w:cs="宋体"/>
                <w:color w:val="000000"/>
                <w:sz w:val="22"/>
                <w:szCs w:val="22"/>
              </w:rPr>
              <w:t>。</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950" w:type="dxa"/>
            <w:vMerge w:val="continue"/>
            <w:noWrap w:val="0"/>
            <w:vAlign w:val="center"/>
          </w:tcPr>
          <w:p>
            <w:pPr>
              <w:jc w:val="center"/>
              <w:textAlignment w:val="center"/>
              <w:rPr>
                <w:rFonts w:hint="eastAsia" w:ascii="宋体" w:hAnsi="宋体" w:cs="宋体"/>
                <w:color w:val="000000"/>
                <w:sz w:val="22"/>
                <w:szCs w:val="22"/>
              </w:rPr>
            </w:pPr>
          </w:p>
        </w:tc>
        <w:tc>
          <w:tcPr>
            <w:tcW w:w="1417" w:type="dxa"/>
            <w:gridSpan w:val="2"/>
            <w:vMerge w:val="continue"/>
            <w:noWrap w:val="0"/>
            <w:vAlign w:val="center"/>
          </w:tcPr>
          <w:p>
            <w:pPr>
              <w:jc w:val="center"/>
              <w:textAlignment w:val="center"/>
              <w:rPr>
                <w:rFonts w:hint="eastAsia" w:ascii="宋体" w:hAnsi="宋体" w:cs="宋体"/>
                <w:color w:val="000000"/>
                <w:sz w:val="22"/>
                <w:szCs w:val="22"/>
                <w:lang w:bidi="ar"/>
              </w:rPr>
            </w:pPr>
          </w:p>
        </w:tc>
        <w:tc>
          <w:tcPr>
            <w:tcW w:w="1722" w:type="dxa"/>
            <w:noWrap w:val="0"/>
            <w:vAlign w:val="center"/>
          </w:tcPr>
          <w:p>
            <w:pPr>
              <w:textAlignment w:val="center"/>
              <w:rPr>
                <w:rFonts w:hint="eastAsia" w:ascii="宋体" w:hAnsi="宋体" w:cs="宋体"/>
                <w:color w:val="000000"/>
                <w:sz w:val="22"/>
                <w:szCs w:val="22"/>
              </w:rPr>
            </w:pPr>
            <w:r>
              <w:rPr>
                <w:rFonts w:hint="eastAsia" w:ascii="宋体" w:hAnsi="宋体" w:cs="宋体"/>
                <w:color w:val="000000"/>
                <w:sz w:val="22"/>
                <w:szCs w:val="22"/>
              </w:rPr>
              <w:t>分级授权</w:t>
            </w:r>
          </w:p>
        </w:tc>
        <w:tc>
          <w:tcPr>
            <w:tcW w:w="4304" w:type="dxa"/>
            <w:noWrap w:val="0"/>
            <w:vAlign w:val="center"/>
          </w:tcPr>
          <w:p>
            <w:pPr>
              <w:jc w:val="both"/>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单位是否根据不同管理层级和工作岗位，依法依规授予适当权限。</w:t>
            </w:r>
          </w:p>
        </w:tc>
        <w:tc>
          <w:tcPr>
            <w:tcW w:w="796" w:type="dxa"/>
            <w:noWrap w:val="0"/>
            <w:vAlign w:val="center"/>
          </w:tcPr>
          <w:p>
            <w:pPr>
              <w:jc w:val="center"/>
              <w:rPr>
                <w:rFonts w:ascii="宋体" w:hAnsi="宋体" w:cs="宋体"/>
                <w:color w:val="000000"/>
                <w:sz w:val="22"/>
                <w:szCs w:val="22"/>
              </w:rPr>
            </w:pPr>
            <w:r>
              <w:rPr>
                <w:rFonts w:hint="eastAsia" w:ascii="宋体" w:hAnsi="宋体" w:cs="宋体"/>
                <w:color w:val="000000"/>
                <w:sz w:val="22"/>
                <w:szCs w:val="22"/>
              </w:rPr>
              <w:t>2</w:t>
            </w:r>
          </w:p>
        </w:tc>
        <w:tc>
          <w:tcPr>
            <w:tcW w:w="5478" w:type="dxa"/>
            <w:noWrap w:val="0"/>
            <w:vAlign w:val="center"/>
          </w:tcPr>
          <w:p>
            <w:pPr>
              <w:rPr>
                <w:rFonts w:hint="eastAsia" w:ascii="宋体" w:hAnsi="宋体" w:cs="宋体"/>
                <w:color w:val="000000"/>
                <w:sz w:val="22"/>
                <w:szCs w:val="22"/>
              </w:rPr>
            </w:pPr>
            <w:r>
              <w:rPr>
                <w:rFonts w:hint="eastAsia" w:ascii="宋体" w:hAnsi="宋体" w:cs="宋体"/>
                <w:color w:val="000000"/>
                <w:sz w:val="22"/>
                <w:szCs w:val="22"/>
              </w:rPr>
              <w:t>已建立健全分级授权机制并有效执行的，得满分；每发现一处授权不当、越权办事的，扣0.5分，扣完为止。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blHeader/>
        </w:trPr>
        <w:tc>
          <w:tcPr>
            <w:tcW w:w="950" w:type="dxa"/>
            <w:vMerge w:val="continue"/>
            <w:noWrap w:val="0"/>
            <w:vAlign w:val="center"/>
          </w:tcPr>
          <w:p>
            <w:pPr>
              <w:jc w:val="center"/>
              <w:textAlignment w:val="center"/>
              <w:rPr>
                <w:rFonts w:hint="eastAsia" w:ascii="宋体" w:hAnsi="宋体" w:cs="宋体"/>
                <w:color w:val="000000"/>
                <w:sz w:val="22"/>
                <w:szCs w:val="22"/>
              </w:rPr>
            </w:pPr>
          </w:p>
        </w:tc>
        <w:tc>
          <w:tcPr>
            <w:tcW w:w="1417" w:type="dxa"/>
            <w:gridSpan w:val="2"/>
            <w:vMerge w:val="restart"/>
            <w:noWrap w:val="0"/>
            <w:vAlign w:val="center"/>
          </w:tcPr>
          <w:p>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信息系统</w:t>
            </w:r>
          </w:p>
        </w:tc>
        <w:tc>
          <w:tcPr>
            <w:tcW w:w="1722" w:type="dxa"/>
            <w:noWrap w:val="0"/>
            <w:vAlign w:val="center"/>
          </w:tcPr>
          <w:p>
            <w:pPr>
              <w:textAlignment w:val="center"/>
              <w:rPr>
                <w:rFonts w:hint="eastAsia" w:ascii="宋体" w:hAnsi="宋体" w:cs="宋体"/>
                <w:color w:val="000000"/>
                <w:sz w:val="22"/>
                <w:szCs w:val="22"/>
              </w:rPr>
            </w:pPr>
            <w:r>
              <w:rPr>
                <w:rFonts w:hint="eastAsia" w:ascii="宋体" w:hAnsi="宋体" w:cs="宋体"/>
                <w:color w:val="000000"/>
                <w:sz w:val="22"/>
                <w:szCs w:val="22"/>
              </w:rPr>
              <w:t>内部控制</w:t>
            </w:r>
            <w:r>
              <w:rPr>
                <w:rFonts w:hint="eastAsia" w:ascii="宋体" w:hAnsi="宋体" w:cs="宋体"/>
                <w:color w:val="000000"/>
                <w:sz w:val="22"/>
                <w:szCs w:val="22"/>
                <w:lang w:bidi="ar"/>
              </w:rPr>
              <w:t>信息化情况</w:t>
            </w:r>
          </w:p>
        </w:tc>
        <w:tc>
          <w:tcPr>
            <w:tcW w:w="4304" w:type="dxa"/>
            <w:noWrap w:val="0"/>
            <w:vAlign w:val="center"/>
          </w:tcPr>
          <w:p>
            <w:pPr>
              <w:jc w:val="both"/>
              <w:textAlignment w:val="center"/>
              <w:rPr>
                <w:rFonts w:hint="eastAsia" w:ascii="宋体" w:hAnsi="宋体" w:cs="宋体"/>
                <w:color w:val="000000"/>
                <w:sz w:val="22"/>
                <w:szCs w:val="22"/>
              </w:rPr>
            </w:pPr>
            <w:r>
              <w:rPr>
                <w:rFonts w:hint="eastAsia" w:ascii="宋体" w:hAnsi="宋体" w:cs="宋体"/>
                <w:color w:val="000000"/>
                <w:sz w:val="22"/>
                <w:szCs w:val="22"/>
              </w:rPr>
              <w:t>单位是否将内部控制要求嵌入信息系统，以及信息系统是否覆盖单位全部经济活动或主要业务活动。</w:t>
            </w:r>
          </w:p>
        </w:tc>
        <w:tc>
          <w:tcPr>
            <w:tcW w:w="796" w:type="dxa"/>
            <w:noWrap w:val="0"/>
            <w:vAlign w:val="center"/>
          </w:tcPr>
          <w:p>
            <w:pPr>
              <w:jc w:val="center"/>
              <w:rPr>
                <w:rFonts w:hint="eastAsia" w:ascii="宋体" w:hAnsi="宋体" w:cs="宋体"/>
                <w:color w:val="000000"/>
                <w:sz w:val="22"/>
                <w:szCs w:val="22"/>
              </w:rPr>
            </w:pPr>
            <w:r>
              <w:rPr>
                <w:rFonts w:hint="eastAsia" w:ascii="宋体" w:hAnsi="宋体" w:cs="宋体"/>
                <w:color w:val="000000"/>
                <w:sz w:val="22"/>
                <w:szCs w:val="22"/>
              </w:rPr>
              <w:t>2</w:t>
            </w:r>
          </w:p>
        </w:tc>
        <w:tc>
          <w:tcPr>
            <w:tcW w:w="5478" w:type="dxa"/>
            <w:noWrap w:val="0"/>
            <w:vAlign w:val="center"/>
          </w:tcPr>
          <w:p>
            <w:pPr>
              <w:rPr>
                <w:rFonts w:hint="eastAsia" w:ascii="宋体" w:hAnsi="宋体" w:cs="宋体"/>
                <w:color w:val="000000"/>
                <w:sz w:val="22"/>
                <w:szCs w:val="22"/>
              </w:rPr>
            </w:pPr>
            <w:r>
              <w:rPr>
                <w:rFonts w:hint="eastAsia" w:ascii="宋体" w:hAnsi="宋体" w:cs="宋体"/>
                <w:color w:val="000000"/>
                <w:sz w:val="22"/>
                <w:szCs w:val="22"/>
              </w:rPr>
              <w:t>信息系统全面覆盖单位经济活动和主要业务活动，且满足内部控制要求的，得满分；信息系统不满足内部控制要求的，视情况</w:t>
            </w:r>
            <w:r>
              <w:rPr>
                <w:rFonts w:hint="eastAsia" w:ascii="宋体" w:hAnsi="宋体" w:cs="宋体"/>
                <w:color w:val="000000"/>
                <w:sz w:val="22"/>
                <w:szCs w:val="22"/>
                <w:lang w:bidi="ar"/>
              </w:rPr>
              <w:t>扣0.5-2分</w:t>
            </w:r>
            <w:r>
              <w:rPr>
                <w:rFonts w:hint="eastAsia" w:ascii="宋体" w:hAnsi="宋体" w:cs="宋体"/>
                <w:color w:val="000000"/>
                <w:sz w:val="22"/>
                <w:szCs w:val="22"/>
              </w:rPr>
              <w:t>。</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417" w:type="dxa"/>
            <w:gridSpan w:val="2"/>
            <w:vMerge w:val="continue"/>
            <w:noWrap w:val="0"/>
            <w:vAlign w:val="center"/>
          </w:tcPr>
          <w:p>
            <w:pPr>
              <w:jc w:val="center"/>
              <w:rPr>
                <w:rFonts w:hint="eastAsia" w:ascii="宋体" w:hAnsi="宋体" w:cs="宋体"/>
                <w:color w:val="000000"/>
                <w:sz w:val="22"/>
                <w:szCs w:val="22"/>
              </w:rPr>
            </w:pPr>
          </w:p>
        </w:tc>
        <w:tc>
          <w:tcPr>
            <w:tcW w:w="1722" w:type="dxa"/>
            <w:noWrap w:val="0"/>
            <w:vAlign w:val="center"/>
          </w:tcPr>
          <w:p>
            <w:pPr>
              <w:textAlignment w:val="center"/>
              <w:rPr>
                <w:rFonts w:hint="eastAsia" w:ascii="宋体" w:hAnsi="宋体" w:cs="宋体"/>
                <w:color w:val="000000"/>
                <w:sz w:val="22"/>
                <w:szCs w:val="22"/>
              </w:rPr>
            </w:pPr>
            <w:r>
              <w:rPr>
                <w:rFonts w:hint="eastAsia" w:ascii="宋体" w:hAnsi="宋体" w:cs="宋体"/>
                <w:color w:val="000000"/>
                <w:sz w:val="22"/>
                <w:szCs w:val="22"/>
              </w:rPr>
              <w:t>信息系统控制情况</w:t>
            </w:r>
          </w:p>
        </w:tc>
        <w:tc>
          <w:tcPr>
            <w:tcW w:w="4304" w:type="dxa"/>
            <w:noWrap w:val="0"/>
            <w:vAlign w:val="center"/>
          </w:tcPr>
          <w:p>
            <w:pPr>
              <w:jc w:val="both"/>
              <w:textAlignment w:val="center"/>
              <w:rPr>
                <w:rFonts w:hint="eastAsia" w:ascii="宋体" w:hAnsi="宋体" w:cs="宋体"/>
                <w:color w:val="000000"/>
                <w:sz w:val="22"/>
                <w:szCs w:val="22"/>
              </w:rPr>
            </w:pPr>
            <w:r>
              <w:rPr>
                <w:rFonts w:hint="eastAsia" w:ascii="宋体" w:hAnsi="宋体" w:cs="宋体"/>
                <w:color w:val="000000"/>
                <w:sz w:val="22"/>
                <w:szCs w:val="22"/>
              </w:rPr>
              <w:t>信息系统的开发、运行、维护是否制定并履行相应的控制措施。</w:t>
            </w:r>
          </w:p>
        </w:tc>
        <w:tc>
          <w:tcPr>
            <w:tcW w:w="796" w:type="dxa"/>
            <w:noWrap w:val="0"/>
            <w:vAlign w:val="center"/>
          </w:tcPr>
          <w:p>
            <w:pPr>
              <w:jc w:val="center"/>
              <w:rPr>
                <w:rFonts w:hint="eastAsia" w:ascii="宋体" w:hAnsi="宋体" w:cs="宋体"/>
                <w:color w:val="000000"/>
                <w:sz w:val="22"/>
                <w:szCs w:val="22"/>
              </w:rPr>
            </w:pPr>
            <w:r>
              <w:rPr>
                <w:rFonts w:hint="eastAsia" w:ascii="宋体" w:hAnsi="宋体" w:cs="宋体"/>
                <w:color w:val="000000"/>
                <w:sz w:val="22"/>
                <w:szCs w:val="22"/>
              </w:rPr>
              <w:t>2</w:t>
            </w:r>
          </w:p>
        </w:tc>
        <w:tc>
          <w:tcPr>
            <w:tcW w:w="5478" w:type="dxa"/>
            <w:noWrap w:val="0"/>
            <w:vAlign w:val="center"/>
          </w:tcPr>
          <w:p>
            <w:pPr>
              <w:rPr>
                <w:rFonts w:hint="eastAsia" w:ascii="宋体" w:hAnsi="宋体" w:cs="宋体"/>
                <w:color w:val="000000"/>
                <w:sz w:val="22"/>
                <w:szCs w:val="22"/>
              </w:rPr>
            </w:pPr>
            <w:r>
              <w:rPr>
                <w:rFonts w:hint="eastAsia" w:ascii="宋体" w:hAnsi="宋体" w:cs="宋体"/>
                <w:color w:val="000000"/>
                <w:sz w:val="22"/>
                <w:szCs w:val="22"/>
              </w:rPr>
              <w:t>已制定并执行信息系统相关控制措施的，得满分；控制措施制定不完善，或未全部执行的，视情况</w:t>
            </w:r>
            <w:r>
              <w:rPr>
                <w:rFonts w:hint="eastAsia" w:ascii="宋体" w:hAnsi="宋体" w:cs="宋体"/>
                <w:color w:val="000000"/>
                <w:sz w:val="22"/>
                <w:szCs w:val="22"/>
                <w:lang w:bidi="ar"/>
              </w:rPr>
              <w:t>扣0.5-2分</w:t>
            </w:r>
            <w:r>
              <w:rPr>
                <w:rFonts w:hint="eastAsia" w:ascii="宋体" w:hAnsi="宋体" w:cs="宋体"/>
                <w:color w:val="000000"/>
                <w:sz w:val="22"/>
                <w:szCs w:val="22"/>
              </w:rPr>
              <w:t>；未制定或未执行控制措施的，不得分。</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417" w:type="dxa"/>
            <w:gridSpan w:val="2"/>
            <w:noWrap w:val="0"/>
            <w:vAlign w:val="center"/>
          </w:tcPr>
          <w:p>
            <w:pPr>
              <w:jc w:val="center"/>
              <w:textAlignment w:val="center"/>
              <w:rPr>
                <w:rFonts w:hint="eastAsia" w:ascii="宋体" w:hAnsi="宋体" w:cs="宋体"/>
                <w:color w:val="000000"/>
                <w:sz w:val="22"/>
                <w:szCs w:val="22"/>
              </w:rPr>
            </w:pPr>
            <w:r>
              <w:rPr>
                <w:rFonts w:hint="eastAsia" w:ascii="宋体" w:hAnsi="宋体" w:cs="宋体"/>
                <w:color w:val="000000"/>
                <w:sz w:val="22"/>
                <w:szCs w:val="22"/>
              </w:rPr>
              <w:t>补充指标</w:t>
            </w:r>
          </w:p>
        </w:tc>
        <w:tc>
          <w:tcPr>
            <w:tcW w:w="1722" w:type="dxa"/>
            <w:noWrap w:val="0"/>
            <w:vAlign w:val="center"/>
          </w:tcPr>
          <w:p>
            <w:pPr>
              <w:rPr>
                <w:rFonts w:hint="eastAsia" w:ascii="宋体" w:hAnsi="宋体" w:cs="宋体"/>
                <w:color w:val="000000"/>
                <w:sz w:val="22"/>
                <w:szCs w:val="22"/>
              </w:rPr>
            </w:pPr>
            <w:r>
              <w:rPr>
                <w:rFonts w:hint="eastAsia" w:ascii="宋体" w:hAnsi="宋体" w:cs="宋体"/>
                <w:color w:val="000000"/>
                <w:sz w:val="22"/>
                <w:szCs w:val="22"/>
              </w:rPr>
              <w:t>补充指标……</w:t>
            </w:r>
          </w:p>
        </w:tc>
        <w:tc>
          <w:tcPr>
            <w:tcW w:w="4304" w:type="dxa"/>
            <w:noWrap w:val="0"/>
            <w:vAlign w:val="center"/>
          </w:tcPr>
          <w:p>
            <w:pPr>
              <w:jc w:val="both"/>
              <w:textAlignment w:val="center"/>
              <w:rPr>
                <w:rFonts w:hint="eastAsia" w:ascii="宋体" w:hAnsi="宋体" w:cs="宋体"/>
                <w:color w:val="000000"/>
                <w:sz w:val="22"/>
                <w:szCs w:val="22"/>
              </w:rPr>
            </w:pPr>
            <w:r>
              <w:rPr>
                <w:rFonts w:hint="eastAsia" w:ascii="宋体" w:hAnsi="宋体" w:cs="宋体"/>
                <w:color w:val="000000"/>
                <w:sz w:val="22"/>
                <w:szCs w:val="22"/>
                <w:lang w:bidi="ar"/>
              </w:rPr>
              <w:t>结合内部管理实际，由单位自行补充。</w:t>
            </w:r>
          </w:p>
        </w:tc>
        <w:tc>
          <w:tcPr>
            <w:tcW w:w="796" w:type="dxa"/>
            <w:noWrap w:val="0"/>
            <w:vAlign w:val="center"/>
          </w:tcPr>
          <w:p>
            <w:pPr>
              <w:jc w:val="center"/>
              <w:rPr>
                <w:rFonts w:hint="eastAsia" w:ascii="宋体" w:hAnsi="宋体" w:cs="宋体"/>
                <w:color w:val="000000"/>
                <w:sz w:val="22"/>
                <w:szCs w:val="22"/>
              </w:rPr>
            </w:pPr>
            <w:r>
              <w:rPr>
                <w:rFonts w:hint="eastAsia" w:ascii="宋体" w:hAnsi="宋体" w:cs="宋体"/>
                <w:color w:val="000000"/>
                <w:sz w:val="22"/>
                <w:szCs w:val="22"/>
              </w:rPr>
              <w:t>5</w:t>
            </w:r>
          </w:p>
        </w:tc>
        <w:tc>
          <w:tcPr>
            <w:tcW w:w="5478" w:type="dxa"/>
            <w:noWrap w:val="0"/>
            <w:vAlign w:val="center"/>
          </w:tcPr>
          <w:p>
            <w:pPr>
              <w:rPr>
                <w:rFonts w:hint="eastAsia" w:ascii="宋体" w:hAnsi="宋体" w:cs="宋体"/>
                <w:color w:val="000000"/>
                <w:sz w:val="22"/>
                <w:szCs w:val="22"/>
              </w:rPr>
            </w:pPr>
            <w:r>
              <w:rPr>
                <w:rFonts w:hint="eastAsia" w:ascii="宋体" w:hAnsi="宋体" w:cs="宋体"/>
                <w:color w:val="000000"/>
                <w:sz w:val="22"/>
                <w:szCs w:val="22"/>
              </w:rPr>
              <w:t>单位自行制定评分细则。</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8393" w:type="dxa"/>
            <w:gridSpan w:val="5"/>
            <w:noWrap w:val="0"/>
            <w:vAlign w:val="center"/>
          </w:tcPr>
          <w:p>
            <w:pPr>
              <w:jc w:val="center"/>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小计</w:t>
            </w:r>
          </w:p>
        </w:tc>
        <w:tc>
          <w:tcPr>
            <w:tcW w:w="796" w:type="dxa"/>
            <w:noWrap w:val="0"/>
            <w:vAlign w:val="center"/>
          </w:tcPr>
          <w:p>
            <w:pPr>
              <w:jc w:val="center"/>
              <w:rPr>
                <w:rFonts w:ascii="宋体" w:hAnsi="宋体" w:cs="宋体"/>
                <w:color w:val="000000"/>
                <w:sz w:val="22"/>
                <w:szCs w:val="22"/>
              </w:rPr>
            </w:pPr>
            <w:r>
              <w:rPr>
                <w:rFonts w:hint="eastAsia" w:ascii="宋体" w:hAnsi="宋体" w:cs="宋体"/>
                <w:color w:val="000000"/>
                <w:sz w:val="22"/>
                <w:szCs w:val="22"/>
              </w:rPr>
              <w:t>20</w:t>
            </w:r>
          </w:p>
        </w:tc>
        <w:tc>
          <w:tcPr>
            <w:tcW w:w="5478" w:type="dxa"/>
            <w:noWrap w:val="0"/>
            <w:vAlign w:val="center"/>
          </w:tcPr>
          <w:p>
            <w:pPr>
              <w:jc w:val="center"/>
              <w:rPr>
                <w:rFonts w:hint="eastAsia" w:ascii="宋体" w:hAnsi="宋体" w:cs="宋体"/>
                <w:color w:val="000000"/>
                <w:sz w:val="22"/>
                <w:szCs w:val="22"/>
              </w:rPr>
            </w:pP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50" w:type="dxa"/>
            <w:vMerge w:val="restart"/>
            <w:noWrap w:val="0"/>
            <w:vAlign w:val="center"/>
          </w:tcPr>
          <w:p>
            <w:pPr>
              <w:jc w:val="center"/>
              <w:textAlignment w:val="center"/>
              <w:rPr>
                <w:rFonts w:hint="eastAsia" w:ascii="宋体" w:hAnsi="宋体" w:cs="宋体"/>
                <w:color w:val="000000"/>
                <w:sz w:val="22"/>
                <w:szCs w:val="22"/>
                <w:lang w:bidi="ar"/>
              </w:rPr>
            </w:pPr>
          </w:p>
          <w:p>
            <w:pPr>
              <w:jc w:val="center"/>
              <w:textAlignment w:val="center"/>
              <w:rPr>
                <w:rFonts w:hint="eastAsia" w:ascii="宋体" w:hAnsi="宋体" w:cs="宋体"/>
                <w:color w:val="000000"/>
                <w:sz w:val="22"/>
                <w:szCs w:val="22"/>
              </w:rPr>
            </w:pPr>
            <w:r>
              <w:rPr>
                <w:rFonts w:hint="eastAsia" w:ascii="宋体" w:hAnsi="宋体" w:cs="宋体"/>
                <w:color w:val="000000"/>
                <w:sz w:val="22"/>
                <w:szCs w:val="22"/>
              </w:rPr>
              <w:t>二、</w:t>
            </w:r>
            <w:r>
              <w:rPr>
                <w:rFonts w:hint="eastAsia" w:ascii="宋体" w:hAnsi="宋体" w:cs="宋体"/>
                <w:color w:val="000000"/>
                <w:sz w:val="22"/>
                <w:szCs w:val="22"/>
                <w:lang w:bidi="ar"/>
              </w:rPr>
              <w:t>业务层面内部控制</w:t>
            </w:r>
          </w:p>
        </w:tc>
        <w:tc>
          <w:tcPr>
            <w:tcW w:w="1304" w:type="dxa"/>
            <w:vMerge w:val="restart"/>
            <w:noWrap w:val="0"/>
            <w:vAlign w:val="center"/>
          </w:tcPr>
          <w:p>
            <w:pPr>
              <w:jc w:val="center"/>
              <w:rPr>
                <w:rFonts w:hint="eastAsia" w:ascii="宋体" w:hAnsi="宋体" w:cs="宋体"/>
                <w:color w:val="000000"/>
                <w:sz w:val="22"/>
                <w:szCs w:val="22"/>
              </w:rPr>
            </w:pPr>
            <w:r>
              <w:rPr>
                <w:rFonts w:hint="eastAsia" w:ascii="宋体" w:hAnsi="宋体" w:cs="宋体"/>
                <w:color w:val="000000"/>
                <w:sz w:val="22"/>
                <w:szCs w:val="22"/>
                <w:lang w:bidi="ar"/>
              </w:rPr>
              <w:t>预算业务内部控制</w:t>
            </w:r>
          </w:p>
        </w:tc>
        <w:tc>
          <w:tcPr>
            <w:tcW w:w="1835" w:type="dxa"/>
            <w:gridSpan w:val="2"/>
            <w:noWrap/>
            <w:vAlign w:val="center"/>
          </w:tcPr>
          <w:p>
            <w:pPr>
              <w:rPr>
                <w:rFonts w:hint="eastAsia" w:ascii="宋体" w:hAnsi="宋体" w:cs="宋体"/>
                <w:color w:val="000000"/>
                <w:sz w:val="22"/>
                <w:szCs w:val="22"/>
                <w:lang w:bidi="ar"/>
              </w:rPr>
            </w:pPr>
            <w:r>
              <w:rPr>
                <w:rFonts w:hint="eastAsia" w:ascii="宋体" w:hAnsi="宋体" w:cs="宋体"/>
                <w:color w:val="000000"/>
                <w:sz w:val="22"/>
                <w:szCs w:val="22"/>
                <w:lang w:bidi="ar"/>
              </w:rPr>
              <w:t>预算业务内部控制建立情况</w:t>
            </w:r>
          </w:p>
        </w:tc>
        <w:tc>
          <w:tcPr>
            <w:tcW w:w="4304" w:type="dxa"/>
            <w:noWrap w:val="0"/>
            <w:vAlign w:val="center"/>
          </w:tcPr>
          <w:p>
            <w:pPr>
              <w:jc w:val="both"/>
              <w:textAlignment w:val="center"/>
              <w:rPr>
                <w:rFonts w:hint="eastAsia" w:ascii="宋体" w:hAnsi="宋体" w:cs="宋体"/>
                <w:color w:val="000000"/>
                <w:sz w:val="22"/>
                <w:szCs w:val="22"/>
              </w:rPr>
            </w:pPr>
            <w:r>
              <w:rPr>
                <w:rFonts w:hint="eastAsia" w:ascii="宋体" w:hAnsi="宋体" w:cs="宋体"/>
                <w:color w:val="000000"/>
                <w:sz w:val="22"/>
                <w:szCs w:val="22"/>
                <w:lang w:bidi="ar"/>
              </w:rPr>
              <w:t>单位是否依据法律法规、上级部门工作要求和内部管理实际需要，建立涵盖预算编制、审批、执行、调整、分析、决算与评价等环节的预算业务内部控制制度。</w:t>
            </w:r>
          </w:p>
        </w:tc>
        <w:tc>
          <w:tcPr>
            <w:tcW w:w="796" w:type="dxa"/>
            <w:noWrap w:val="0"/>
            <w:vAlign w:val="center"/>
          </w:tcPr>
          <w:p>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4</w:t>
            </w:r>
          </w:p>
        </w:tc>
        <w:tc>
          <w:tcPr>
            <w:tcW w:w="5478" w:type="dxa"/>
            <w:noWrap w:val="0"/>
            <w:vAlign w:val="center"/>
          </w:tcPr>
          <w:p>
            <w:pPr>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每发现一项应建立未建立相关制度的，扣1分，扣完为止。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continue"/>
            <w:noWrap w:val="0"/>
            <w:vAlign w:val="center"/>
          </w:tcPr>
          <w:p>
            <w:pPr>
              <w:jc w:val="center"/>
              <w:rPr>
                <w:rFonts w:hint="eastAsia" w:ascii="宋体" w:hAnsi="宋体" w:cs="宋体"/>
                <w:color w:val="000000"/>
                <w:sz w:val="22"/>
                <w:szCs w:val="22"/>
              </w:rPr>
            </w:pPr>
          </w:p>
        </w:tc>
        <w:tc>
          <w:tcPr>
            <w:tcW w:w="1835" w:type="dxa"/>
            <w:gridSpan w:val="2"/>
            <w:vMerge w:val="restart"/>
            <w:noWrap/>
            <w:vAlign w:val="center"/>
          </w:tcPr>
          <w:p>
            <w:pPr>
              <w:rPr>
                <w:rFonts w:hint="eastAsia" w:ascii="宋体" w:hAnsi="宋体" w:cs="宋体"/>
                <w:color w:val="000000"/>
                <w:sz w:val="22"/>
                <w:szCs w:val="22"/>
                <w:lang w:bidi="ar"/>
              </w:rPr>
            </w:pPr>
            <w:r>
              <w:rPr>
                <w:rFonts w:hint="eastAsia" w:ascii="宋体" w:hAnsi="宋体" w:cs="宋体"/>
                <w:color w:val="000000"/>
                <w:sz w:val="22"/>
                <w:szCs w:val="22"/>
                <w:lang w:bidi="ar"/>
              </w:rPr>
              <w:t>预算业务内部控制实施情况</w:t>
            </w:r>
          </w:p>
        </w:tc>
        <w:tc>
          <w:tcPr>
            <w:tcW w:w="4304" w:type="dxa"/>
            <w:noWrap w:val="0"/>
            <w:vAlign w:val="center"/>
          </w:tcPr>
          <w:p>
            <w:pPr>
              <w:jc w:val="both"/>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单位预算编制主体、程序及标准是否符合单位制度要求。</w:t>
            </w:r>
          </w:p>
        </w:tc>
        <w:tc>
          <w:tcPr>
            <w:tcW w:w="796" w:type="dxa"/>
            <w:noWrap w:val="0"/>
            <w:vAlign w:val="center"/>
          </w:tcPr>
          <w:p>
            <w:pPr>
              <w:jc w:val="center"/>
              <w:rPr>
                <w:rFonts w:ascii="宋体" w:hAnsi="宋体" w:cs="宋体"/>
                <w:color w:val="000000"/>
                <w:sz w:val="22"/>
                <w:szCs w:val="22"/>
              </w:rPr>
            </w:pPr>
            <w:r>
              <w:rPr>
                <w:rFonts w:hint="eastAsia" w:ascii="宋体" w:hAnsi="宋体" w:cs="宋体"/>
                <w:color w:val="000000"/>
                <w:sz w:val="22"/>
                <w:szCs w:val="22"/>
              </w:rPr>
              <w:t>2</w:t>
            </w:r>
          </w:p>
        </w:tc>
        <w:tc>
          <w:tcPr>
            <w:tcW w:w="5478" w:type="dxa"/>
            <w:noWrap w:val="0"/>
            <w:vAlign w:val="center"/>
          </w:tcPr>
          <w:p>
            <w:pPr>
              <w:rPr>
                <w:rFonts w:ascii="宋体" w:hAnsi="宋体" w:cs="宋体"/>
                <w:color w:val="000000"/>
                <w:sz w:val="22"/>
                <w:szCs w:val="22"/>
                <w:lang w:bidi="ar"/>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continue"/>
            <w:noWrap w:val="0"/>
            <w:vAlign w:val="center"/>
          </w:tcPr>
          <w:p>
            <w:pPr>
              <w:jc w:val="center"/>
              <w:rPr>
                <w:rFonts w:hint="eastAsia" w:ascii="宋体" w:hAnsi="宋体" w:cs="宋体"/>
                <w:color w:val="000000"/>
                <w:sz w:val="22"/>
                <w:szCs w:val="22"/>
              </w:rPr>
            </w:pPr>
          </w:p>
        </w:tc>
        <w:tc>
          <w:tcPr>
            <w:tcW w:w="1835" w:type="dxa"/>
            <w:gridSpan w:val="2"/>
            <w:vMerge w:val="continue"/>
            <w:noWrap/>
            <w:vAlign w:val="center"/>
          </w:tcPr>
          <w:p>
            <w:pPr>
              <w:rPr>
                <w:rFonts w:hint="eastAsia" w:ascii="宋体" w:hAnsi="宋体" w:cs="宋体"/>
                <w:color w:val="000000"/>
                <w:sz w:val="22"/>
                <w:szCs w:val="22"/>
                <w:lang w:bidi="ar"/>
              </w:rPr>
            </w:pPr>
          </w:p>
        </w:tc>
        <w:tc>
          <w:tcPr>
            <w:tcW w:w="4304" w:type="dxa"/>
            <w:noWrap w:val="0"/>
            <w:vAlign w:val="center"/>
          </w:tcPr>
          <w:p>
            <w:pPr>
              <w:jc w:val="both"/>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单位是否按照批复的预算开展相关活动。</w:t>
            </w:r>
          </w:p>
        </w:tc>
        <w:tc>
          <w:tcPr>
            <w:tcW w:w="796" w:type="dxa"/>
            <w:noWrap w:val="0"/>
            <w:vAlign w:val="center"/>
          </w:tcPr>
          <w:p>
            <w:pPr>
              <w:jc w:val="center"/>
              <w:rPr>
                <w:rFonts w:ascii="宋体" w:hAnsi="宋体" w:cs="宋体"/>
                <w:color w:val="000000"/>
                <w:sz w:val="22"/>
                <w:szCs w:val="22"/>
              </w:rPr>
            </w:pPr>
            <w:r>
              <w:rPr>
                <w:rFonts w:hint="eastAsia" w:ascii="宋体" w:hAnsi="宋体" w:cs="宋体"/>
                <w:color w:val="000000"/>
                <w:sz w:val="22"/>
                <w:szCs w:val="22"/>
              </w:rPr>
              <w:t>1</w:t>
            </w:r>
          </w:p>
        </w:tc>
        <w:tc>
          <w:tcPr>
            <w:tcW w:w="5478" w:type="dxa"/>
            <w:noWrap w:val="0"/>
            <w:vAlign w:val="center"/>
          </w:tcPr>
          <w:p>
            <w:pPr>
              <w:rPr>
                <w:rFonts w:hint="eastAsia" w:ascii="宋体" w:hAnsi="宋体" w:cs="宋体"/>
                <w:color w:val="000000"/>
                <w:sz w:val="22"/>
                <w:szCs w:val="22"/>
                <w:lang w:bidi="ar"/>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continue"/>
            <w:noWrap w:val="0"/>
            <w:vAlign w:val="center"/>
          </w:tcPr>
          <w:p>
            <w:pPr>
              <w:jc w:val="center"/>
              <w:rPr>
                <w:rFonts w:hint="eastAsia" w:ascii="宋体" w:hAnsi="宋体" w:cs="宋体"/>
                <w:color w:val="000000"/>
                <w:sz w:val="22"/>
                <w:szCs w:val="22"/>
              </w:rPr>
            </w:pPr>
          </w:p>
        </w:tc>
        <w:tc>
          <w:tcPr>
            <w:tcW w:w="1835" w:type="dxa"/>
            <w:gridSpan w:val="2"/>
            <w:vMerge w:val="continue"/>
            <w:noWrap/>
            <w:vAlign w:val="center"/>
          </w:tcPr>
          <w:p>
            <w:pPr>
              <w:rPr>
                <w:rFonts w:hint="eastAsia" w:ascii="宋体" w:hAnsi="宋体" w:cs="宋体"/>
                <w:color w:val="000000"/>
                <w:sz w:val="22"/>
                <w:szCs w:val="22"/>
                <w:lang w:bidi="ar"/>
              </w:rPr>
            </w:pPr>
          </w:p>
        </w:tc>
        <w:tc>
          <w:tcPr>
            <w:tcW w:w="4304" w:type="dxa"/>
            <w:noWrap w:val="0"/>
            <w:vAlign w:val="center"/>
          </w:tcPr>
          <w:p>
            <w:pPr>
              <w:jc w:val="both"/>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单位是否按照相关制度规定开展预算变更、调整申报和审核流程，是否报送相关部门审核审批备案后，再下达相关业务部门执行。</w:t>
            </w:r>
          </w:p>
        </w:tc>
        <w:tc>
          <w:tcPr>
            <w:tcW w:w="796" w:type="dxa"/>
            <w:noWrap w:val="0"/>
            <w:vAlign w:val="center"/>
          </w:tcPr>
          <w:p>
            <w:pPr>
              <w:jc w:val="center"/>
              <w:rPr>
                <w:rFonts w:ascii="宋体" w:hAnsi="宋体" w:cs="宋体"/>
                <w:color w:val="000000"/>
                <w:sz w:val="22"/>
                <w:szCs w:val="22"/>
              </w:rPr>
            </w:pPr>
            <w:r>
              <w:rPr>
                <w:rFonts w:hint="eastAsia" w:ascii="宋体" w:hAnsi="宋体" w:cs="宋体"/>
                <w:color w:val="000000"/>
                <w:sz w:val="22"/>
                <w:szCs w:val="22"/>
              </w:rPr>
              <w:t>1</w:t>
            </w:r>
          </w:p>
        </w:tc>
        <w:tc>
          <w:tcPr>
            <w:tcW w:w="5478" w:type="dxa"/>
            <w:noWrap w:val="0"/>
            <w:vAlign w:val="center"/>
          </w:tcPr>
          <w:p>
            <w:pPr>
              <w:rPr>
                <w:rFonts w:hint="eastAsia" w:ascii="宋体" w:hAnsi="宋体" w:cs="宋体"/>
                <w:color w:val="000000"/>
                <w:sz w:val="22"/>
                <w:szCs w:val="22"/>
                <w:lang w:bidi="ar"/>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continue"/>
            <w:noWrap w:val="0"/>
            <w:vAlign w:val="center"/>
          </w:tcPr>
          <w:p>
            <w:pPr>
              <w:jc w:val="center"/>
              <w:rPr>
                <w:rFonts w:hint="eastAsia" w:ascii="宋体" w:hAnsi="宋体" w:cs="宋体"/>
                <w:color w:val="000000"/>
                <w:sz w:val="22"/>
                <w:szCs w:val="22"/>
              </w:rPr>
            </w:pPr>
          </w:p>
        </w:tc>
        <w:tc>
          <w:tcPr>
            <w:tcW w:w="1835" w:type="dxa"/>
            <w:gridSpan w:val="2"/>
            <w:vMerge w:val="continue"/>
            <w:noWrap/>
            <w:vAlign w:val="center"/>
          </w:tcPr>
          <w:p>
            <w:pPr>
              <w:rPr>
                <w:rFonts w:hint="eastAsia" w:ascii="宋体" w:hAnsi="宋体" w:cs="宋体"/>
                <w:color w:val="000000"/>
                <w:sz w:val="22"/>
                <w:szCs w:val="22"/>
                <w:lang w:bidi="ar"/>
              </w:rPr>
            </w:pPr>
          </w:p>
        </w:tc>
        <w:tc>
          <w:tcPr>
            <w:tcW w:w="4304" w:type="dxa"/>
            <w:noWrap w:val="0"/>
            <w:vAlign w:val="center"/>
          </w:tcPr>
          <w:p>
            <w:pPr>
              <w:jc w:val="both"/>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单位是否按照相关制度规定开展决算编制、审核和审批等程序。</w:t>
            </w:r>
          </w:p>
        </w:tc>
        <w:tc>
          <w:tcPr>
            <w:tcW w:w="796" w:type="dxa"/>
            <w:noWrap w:val="0"/>
            <w:vAlign w:val="center"/>
          </w:tcPr>
          <w:p>
            <w:pPr>
              <w:jc w:val="center"/>
              <w:rPr>
                <w:rFonts w:ascii="宋体" w:hAnsi="宋体" w:cs="宋体"/>
                <w:color w:val="000000"/>
                <w:sz w:val="22"/>
                <w:szCs w:val="22"/>
              </w:rPr>
            </w:pPr>
            <w:r>
              <w:rPr>
                <w:rFonts w:hint="eastAsia" w:ascii="宋体" w:hAnsi="宋体" w:cs="宋体"/>
                <w:color w:val="000000"/>
                <w:sz w:val="22"/>
                <w:szCs w:val="22"/>
              </w:rPr>
              <w:t>2</w:t>
            </w:r>
          </w:p>
        </w:tc>
        <w:tc>
          <w:tcPr>
            <w:tcW w:w="5478" w:type="dxa"/>
            <w:noWrap w:val="0"/>
            <w:vAlign w:val="center"/>
          </w:tcPr>
          <w:p>
            <w:pPr>
              <w:rPr>
                <w:rFonts w:hint="eastAsia" w:ascii="宋体" w:hAnsi="宋体" w:cs="宋体"/>
                <w:color w:val="000000"/>
                <w:sz w:val="22"/>
                <w:szCs w:val="22"/>
                <w:lang w:bidi="ar"/>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continue"/>
            <w:noWrap w:val="0"/>
            <w:vAlign w:val="center"/>
          </w:tcPr>
          <w:p>
            <w:pPr>
              <w:jc w:val="center"/>
              <w:rPr>
                <w:rFonts w:hint="eastAsia" w:ascii="宋体" w:hAnsi="宋体" w:cs="宋体"/>
                <w:color w:val="000000"/>
                <w:sz w:val="22"/>
                <w:szCs w:val="22"/>
              </w:rPr>
            </w:pPr>
          </w:p>
        </w:tc>
        <w:tc>
          <w:tcPr>
            <w:tcW w:w="1835" w:type="dxa"/>
            <w:gridSpan w:val="2"/>
            <w:vMerge w:val="continue"/>
            <w:noWrap/>
            <w:vAlign w:val="center"/>
          </w:tcPr>
          <w:p>
            <w:pPr>
              <w:rPr>
                <w:rFonts w:hint="eastAsia" w:ascii="宋体" w:hAnsi="宋体" w:cs="宋体"/>
                <w:color w:val="000000"/>
                <w:sz w:val="22"/>
                <w:szCs w:val="22"/>
                <w:lang w:bidi="ar"/>
              </w:rPr>
            </w:pPr>
          </w:p>
        </w:tc>
        <w:tc>
          <w:tcPr>
            <w:tcW w:w="4304" w:type="dxa"/>
            <w:noWrap w:val="0"/>
            <w:vAlign w:val="center"/>
          </w:tcPr>
          <w:p>
            <w:pPr>
              <w:rPr>
                <w:rFonts w:hint="eastAsia" w:ascii="宋体" w:hAnsi="宋体" w:cs="宋体"/>
                <w:color w:val="000000"/>
                <w:sz w:val="22"/>
                <w:szCs w:val="22"/>
                <w:lang w:bidi="ar"/>
              </w:rPr>
            </w:pPr>
            <w:r>
              <w:rPr>
                <w:rFonts w:hint="eastAsia" w:ascii="宋体" w:hAnsi="宋体" w:cs="宋体"/>
                <w:color w:val="000000"/>
                <w:sz w:val="22"/>
                <w:szCs w:val="22"/>
                <w:lang w:bidi="ar"/>
              </w:rPr>
              <w:t>单位是否按照相关制度规定开展项目预算绩效评价情况。</w:t>
            </w:r>
          </w:p>
        </w:tc>
        <w:tc>
          <w:tcPr>
            <w:tcW w:w="796" w:type="dxa"/>
            <w:noWrap w:val="0"/>
            <w:vAlign w:val="center"/>
          </w:tcPr>
          <w:p>
            <w:pPr>
              <w:jc w:val="center"/>
              <w:rPr>
                <w:rFonts w:ascii="宋体" w:hAnsi="宋体" w:cs="宋体"/>
                <w:color w:val="000000"/>
                <w:sz w:val="22"/>
                <w:szCs w:val="22"/>
              </w:rPr>
            </w:pPr>
            <w:r>
              <w:rPr>
                <w:rFonts w:hint="eastAsia" w:ascii="宋体" w:hAnsi="宋体" w:cs="宋体"/>
                <w:color w:val="000000"/>
                <w:sz w:val="22"/>
                <w:szCs w:val="22"/>
              </w:rPr>
              <w:t>1</w:t>
            </w:r>
          </w:p>
        </w:tc>
        <w:tc>
          <w:tcPr>
            <w:tcW w:w="5478" w:type="dxa"/>
            <w:noWrap w:val="0"/>
            <w:vAlign w:val="center"/>
          </w:tcPr>
          <w:p>
            <w:pPr>
              <w:rPr>
                <w:rFonts w:hint="eastAsia" w:ascii="宋体" w:hAnsi="宋体" w:cs="宋体"/>
                <w:color w:val="000000"/>
                <w:sz w:val="22"/>
                <w:szCs w:val="22"/>
                <w:lang w:bidi="ar"/>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restart"/>
            <w:noWrap w:val="0"/>
            <w:vAlign w:val="center"/>
          </w:tcPr>
          <w:p>
            <w:pPr>
              <w:jc w:val="center"/>
              <w:rPr>
                <w:rFonts w:hint="eastAsia" w:ascii="宋体" w:hAnsi="宋体" w:cs="宋体"/>
                <w:color w:val="000000"/>
                <w:sz w:val="22"/>
                <w:szCs w:val="22"/>
              </w:rPr>
            </w:pPr>
            <w:r>
              <w:rPr>
                <w:rFonts w:hint="eastAsia" w:ascii="宋体" w:hAnsi="宋体" w:cs="宋体"/>
                <w:color w:val="000000"/>
                <w:sz w:val="22"/>
                <w:szCs w:val="22"/>
              </w:rPr>
              <w:t>收支业务内部控制</w:t>
            </w:r>
          </w:p>
        </w:tc>
        <w:tc>
          <w:tcPr>
            <w:tcW w:w="1835" w:type="dxa"/>
            <w:gridSpan w:val="2"/>
            <w:noWrap/>
            <w:vAlign w:val="center"/>
          </w:tcPr>
          <w:p>
            <w:pPr>
              <w:textAlignment w:val="center"/>
              <w:rPr>
                <w:rFonts w:hint="eastAsia" w:ascii="宋体" w:hAnsi="宋体" w:cs="宋体"/>
                <w:color w:val="000000"/>
                <w:sz w:val="22"/>
                <w:szCs w:val="22"/>
              </w:rPr>
            </w:pPr>
            <w:r>
              <w:rPr>
                <w:rFonts w:hint="eastAsia" w:ascii="宋体" w:hAnsi="宋体" w:cs="宋体"/>
                <w:color w:val="000000"/>
                <w:sz w:val="22"/>
                <w:szCs w:val="22"/>
                <w:lang w:bidi="ar"/>
              </w:rPr>
              <w:t>收支业务内部控制建立情况</w:t>
            </w:r>
          </w:p>
        </w:tc>
        <w:tc>
          <w:tcPr>
            <w:tcW w:w="4304" w:type="dxa"/>
            <w:noWrap w:val="0"/>
            <w:vAlign w:val="center"/>
          </w:tcPr>
          <w:p>
            <w:pPr>
              <w:jc w:val="both"/>
              <w:textAlignment w:val="center"/>
              <w:rPr>
                <w:rFonts w:hint="eastAsia" w:ascii="宋体" w:hAnsi="宋体" w:cs="宋体"/>
                <w:color w:val="000000"/>
                <w:sz w:val="22"/>
                <w:szCs w:val="22"/>
              </w:rPr>
            </w:pPr>
            <w:r>
              <w:rPr>
                <w:rFonts w:hint="eastAsia" w:ascii="宋体" w:hAnsi="宋体" w:cs="宋体"/>
                <w:color w:val="000000"/>
                <w:sz w:val="22"/>
                <w:szCs w:val="22"/>
                <w:lang w:bidi="ar"/>
              </w:rPr>
              <w:t>单位是否依据法律法规、上级部门工作要求和内部管理实际需要，建立涵盖收入、票据、债务、支出等环节的收支业务内部控制制度。</w:t>
            </w:r>
          </w:p>
        </w:tc>
        <w:tc>
          <w:tcPr>
            <w:tcW w:w="796" w:type="dxa"/>
            <w:noWrap w:val="0"/>
            <w:vAlign w:val="center"/>
          </w:tcPr>
          <w:p>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4</w:t>
            </w:r>
          </w:p>
        </w:tc>
        <w:tc>
          <w:tcPr>
            <w:tcW w:w="5478" w:type="dxa"/>
            <w:noWrap w:val="0"/>
            <w:vAlign w:val="center"/>
          </w:tcPr>
          <w:p>
            <w:pPr>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已全面建立内部控制制度体系的，得满分；每发现一项应建立未建立相关制度的，扣1分，扣完为止。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continue"/>
            <w:noWrap w:val="0"/>
            <w:vAlign w:val="center"/>
          </w:tcPr>
          <w:p>
            <w:pPr>
              <w:jc w:val="center"/>
              <w:rPr>
                <w:rFonts w:hint="eastAsia" w:ascii="宋体" w:hAnsi="宋体" w:cs="宋体"/>
                <w:color w:val="000000"/>
                <w:sz w:val="22"/>
                <w:szCs w:val="22"/>
              </w:rPr>
            </w:pPr>
          </w:p>
        </w:tc>
        <w:tc>
          <w:tcPr>
            <w:tcW w:w="1835" w:type="dxa"/>
            <w:gridSpan w:val="2"/>
            <w:vMerge w:val="restart"/>
            <w:noWrap/>
            <w:vAlign w:val="center"/>
          </w:tcPr>
          <w:p>
            <w:pPr>
              <w:textAlignment w:val="center"/>
              <w:rPr>
                <w:rFonts w:hint="eastAsia" w:ascii="宋体" w:hAnsi="宋体" w:cs="宋体"/>
                <w:color w:val="000000"/>
                <w:sz w:val="22"/>
                <w:szCs w:val="22"/>
                <w:lang w:bidi="ar"/>
              </w:rPr>
            </w:pPr>
          </w:p>
          <w:p>
            <w:pPr>
              <w:textAlignment w:val="center"/>
              <w:rPr>
                <w:rFonts w:hint="eastAsia" w:ascii="宋体" w:hAnsi="宋体" w:cs="宋体"/>
                <w:color w:val="000000"/>
                <w:sz w:val="22"/>
                <w:szCs w:val="22"/>
                <w:lang w:bidi="ar"/>
              </w:rPr>
            </w:pPr>
          </w:p>
          <w:p>
            <w:pPr>
              <w:textAlignment w:val="center"/>
              <w:rPr>
                <w:rFonts w:hint="eastAsia" w:ascii="宋体" w:hAnsi="宋体" w:cs="宋体"/>
                <w:color w:val="000000"/>
                <w:sz w:val="22"/>
                <w:szCs w:val="22"/>
                <w:lang w:bidi="ar"/>
              </w:rPr>
            </w:pPr>
          </w:p>
          <w:p>
            <w:pPr>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收支业务内部控制实施情况</w:t>
            </w:r>
          </w:p>
          <w:p>
            <w:pPr>
              <w:rPr>
                <w:rFonts w:hint="eastAsia" w:ascii="宋体" w:hAnsi="宋体" w:cs="宋体"/>
                <w:color w:val="000000"/>
                <w:sz w:val="22"/>
                <w:szCs w:val="22"/>
              </w:rPr>
            </w:pPr>
          </w:p>
          <w:p>
            <w:pPr>
              <w:rPr>
                <w:rFonts w:hint="eastAsia" w:ascii="宋体" w:hAnsi="宋体" w:cs="宋体"/>
                <w:color w:val="000000"/>
                <w:sz w:val="22"/>
                <w:szCs w:val="22"/>
              </w:rPr>
            </w:pPr>
          </w:p>
        </w:tc>
        <w:tc>
          <w:tcPr>
            <w:tcW w:w="4304" w:type="dxa"/>
            <w:noWrap w:val="0"/>
            <w:vAlign w:val="center"/>
          </w:tcPr>
          <w:p>
            <w:pPr>
              <w:jc w:val="both"/>
              <w:textAlignment w:val="center"/>
              <w:rPr>
                <w:rFonts w:hint="eastAsia" w:ascii="宋体" w:hAnsi="宋体" w:cs="宋体"/>
                <w:color w:val="000000"/>
                <w:sz w:val="22"/>
                <w:szCs w:val="22"/>
              </w:rPr>
            </w:pPr>
            <w:r>
              <w:rPr>
                <w:rFonts w:hint="eastAsia" w:ascii="宋体" w:hAnsi="宋体" w:cs="宋体"/>
                <w:color w:val="000000"/>
                <w:sz w:val="22"/>
                <w:szCs w:val="22"/>
              </w:rPr>
              <w:t>单位是否按照相关制度规定执行</w:t>
            </w:r>
            <w:r>
              <w:rPr>
                <w:rFonts w:hint="eastAsia" w:ascii="宋体" w:hAnsi="宋体" w:cs="宋体"/>
                <w:color w:val="000000"/>
                <w:sz w:val="22"/>
                <w:szCs w:val="22"/>
                <w:lang w:bidi="ar"/>
              </w:rPr>
              <w:t>各项收入应收尽收，及时、准确入账。</w:t>
            </w:r>
          </w:p>
        </w:tc>
        <w:tc>
          <w:tcPr>
            <w:tcW w:w="796" w:type="dxa"/>
            <w:noWrap w:val="0"/>
            <w:vAlign w:val="center"/>
          </w:tcPr>
          <w:p>
            <w:pPr>
              <w:jc w:val="center"/>
              <w:rPr>
                <w:rFonts w:ascii="宋体" w:hAnsi="宋体" w:cs="宋体"/>
                <w:color w:val="000000"/>
                <w:sz w:val="22"/>
                <w:szCs w:val="22"/>
              </w:rPr>
            </w:pPr>
            <w:r>
              <w:rPr>
                <w:rFonts w:hint="eastAsia" w:ascii="宋体" w:hAnsi="宋体" w:cs="宋体"/>
                <w:color w:val="000000"/>
                <w:sz w:val="22"/>
                <w:szCs w:val="22"/>
              </w:rPr>
              <w:t>2</w:t>
            </w:r>
          </w:p>
        </w:tc>
        <w:tc>
          <w:tcPr>
            <w:tcW w:w="5478" w:type="dxa"/>
            <w:noWrap w:val="0"/>
            <w:vAlign w:val="center"/>
          </w:tcPr>
          <w:p>
            <w:pPr>
              <w:rPr>
                <w:rFonts w:hint="eastAsia" w:ascii="宋体" w:hAnsi="宋体" w:cs="宋体"/>
                <w:color w:val="000000"/>
                <w:sz w:val="22"/>
                <w:szCs w:val="22"/>
                <w:lang w:bidi="ar"/>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continue"/>
            <w:noWrap w:val="0"/>
            <w:vAlign w:val="center"/>
          </w:tcPr>
          <w:p>
            <w:pPr>
              <w:jc w:val="center"/>
              <w:rPr>
                <w:rFonts w:hint="eastAsia" w:ascii="宋体" w:hAnsi="宋体" w:cs="宋体"/>
                <w:color w:val="000000"/>
                <w:sz w:val="22"/>
                <w:szCs w:val="22"/>
              </w:rPr>
            </w:pPr>
          </w:p>
        </w:tc>
        <w:tc>
          <w:tcPr>
            <w:tcW w:w="1835" w:type="dxa"/>
            <w:gridSpan w:val="2"/>
            <w:vMerge w:val="continue"/>
            <w:noWrap/>
            <w:vAlign w:val="center"/>
          </w:tcPr>
          <w:p>
            <w:pPr>
              <w:rPr>
                <w:rFonts w:hint="eastAsia" w:ascii="宋体" w:hAnsi="宋体" w:cs="宋体"/>
                <w:color w:val="000000"/>
                <w:sz w:val="22"/>
                <w:szCs w:val="22"/>
              </w:rPr>
            </w:pPr>
          </w:p>
        </w:tc>
        <w:tc>
          <w:tcPr>
            <w:tcW w:w="4304" w:type="dxa"/>
            <w:noWrap w:val="0"/>
            <w:vAlign w:val="center"/>
          </w:tcPr>
          <w:p>
            <w:pPr>
              <w:jc w:val="both"/>
              <w:textAlignment w:val="center"/>
              <w:rPr>
                <w:rFonts w:hint="eastAsia" w:ascii="宋体" w:hAnsi="宋体" w:cs="宋体"/>
                <w:color w:val="000000"/>
                <w:sz w:val="22"/>
                <w:szCs w:val="22"/>
              </w:rPr>
            </w:pPr>
            <w:r>
              <w:rPr>
                <w:rFonts w:hint="eastAsia" w:ascii="宋体" w:hAnsi="宋体" w:cs="宋体"/>
                <w:color w:val="000000"/>
                <w:sz w:val="22"/>
                <w:szCs w:val="22"/>
              </w:rPr>
              <w:t>单位是否按照相关制度规定，开展票据的申领、启用、保管、登记、核销、销毁等程序。</w:t>
            </w:r>
          </w:p>
        </w:tc>
        <w:tc>
          <w:tcPr>
            <w:tcW w:w="796" w:type="dxa"/>
            <w:noWrap w:val="0"/>
            <w:vAlign w:val="center"/>
          </w:tcPr>
          <w:p>
            <w:pPr>
              <w:jc w:val="center"/>
              <w:rPr>
                <w:rFonts w:hint="eastAsia" w:ascii="宋体" w:hAnsi="宋体" w:cs="宋体"/>
                <w:color w:val="000000"/>
                <w:sz w:val="22"/>
                <w:szCs w:val="22"/>
              </w:rPr>
            </w:pPr>
            <w:r>
              <w:rPr>
                <w:rFonts w:hint="eastAsia" w:ascii="宋体" w:hAnsi="宋体" w:cs="宋体"/>
                <w:color w:val="000000"/>
                <w:sz w:val="22"/>
                <w:szCs w:val="22"/>
              </w:rPr>
              <w:t>2</w:t>
            </w:r>
          </w:p>
        </w:tc>
        <w:tc>
          <w:tcPr>
            <w:tcW w:w="5478" w:type="dxa"/>
            <w:noWrap w:val="0"/>
            <w:vAlign w:val="center"/>
          </w:tcPr>
          <w:p>
            <w:pPr>
              <w:rPr>
                <w:rFonts w:hint="eastAsia" w:ascii="宋体" w:hAnsi="宋体" w:cs="宋体"/>
                <w:color w:val="000000"/>
                <w:sz w:val="22"/>
                <w:szCs w:val="22"/>
                <w:lang w:bidi="ar"/>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continue"/>
            <w:noWrap w:val="0"/>
            <w:vAlign w:val="center"/>
          </w:tcPr>
          <w:p>
            <w:pPr>
              <w:jc w:val="center"/>
              <w:rPr>
                <w:rFonts w:hint="eastAsia" w:ascii="宋体" w:hAnsi="宋体" w:cs="宋体"/>
                <w:color w:val="000000"/>
                <w:sz w:val="22"/>
                <w:szCs w:val="22"/>
              </w:rPr>
            </w:pPr>
          </w:p>
        </w:tc>
        <w:tc>
          <w:tcPr>
            <w:tcW w:w="1835" w:type="dxa"/>
            <w:gridSpan w:val="2"/>
            <w:vMerge w:val="continue"/>
            <w:noWrap/>
            <w:vAlign w:val="center"/>
          </w:tcPr>
          <w:p>
            <w:pPr>
              <w:rPr>
                <w:rFonts w:hint="eastAsia" w:ascii="宋体" w:hAnsi="宋体" w:cs="宋体"/>
                <w:color w:val="000000"/>
                <w:sz w:val="22"/>
                <w:szCs w:val="22"/>
              </w:rPr>
            </w:pPr>
          </w:p>
        </w:tc>
        <w:tc>
          <w:tcPr>
            <w:tcW w:w="4304" w:type="dxa"/>
            <w:noWrap w:val="0"/>
            <w:vAlign w:val="center"/>
          </w:tcPr>
          <w:p>
            <w:pPr>
              <w:jc w:val="both"/>
              <w:textAlignment w:val="center"/>
              <w:rPr>
                <w:rFonts w:hint="eastAsia" w:ascii="宋体" w:hAnsi="宋体" w:cs="宋体"/>
                <w:color w:val="000000"/>
                <w:sz w:val="22"/>
                <w:szCs w:val="22"/>
              </w:rPr>
            </w:pPr>
            <w:r>
              <w:rPr>
                <w:rFonts w:hint="eastAsia" w:ascii="宋体" w:hAnsi="宋体" w:cs="宋体"/>
                <w:color w:val="000000"/>
                <w:sz w:val="22"/>
                <w:szCs w:val="22"/>
              </w:rPr>
              <w:t>单位是否按照相关制度规定，开展支出审核、审批、支付控制和核算等程序。</w:t>
            </w:r>
          </w:p>
        </w:tc>
        <w:tc>
          <w:tcPr>
            <w:tcW w:w="796" w:type="dxa"/>
            <w:noWrap w:val="0"/>
            <w:vAlign w:val="center"/>
          </w:tcPr>
          <w:p>
            <w:pPr>
              <w:jc w:val="center"/>
              <w:rPr>
                <w:rFonts w:hint="eastAsia" w:ascii="宋体" w:hAnsi="宋体" w:cs="宋体"/>
                <w:color w:val="000000"/>
                <w:sz w:val="22"/>
                <w:szCs w:val="22"/>
              </w:rPr>
            </w:pPr>
            <w:r>
              <w:rPr>
                <w:rFonts w:hint="eastAsia" w:ascii="宋体" w:hAnsi="宋体" w:cs="宋体"/>
                <w:color w:val="000000"/>
                <w:sz w:val="22"/>
                <w:szCs w:val="22"/>
              </w:rPr>
              <w:t>2</w:t>
            </w:r>
          </w:p>
        </w:tc>
        <w:tc>
          <w:tcPr>
            <w:tcW w:w="5478" w:type="dxa"/>
            <w:noWrap w:val="0"/>
            <w:vAlign w:val="center"/>
          </w:tcPr>
          <w:p>
            <w:pPr>
              <w:rPr>
                <w:rFonts w:hint="eastAsia" w:ascii="宋体" w:hAnsi="宋体" w:cs="宋体"/>
                <w:color w:val="000000"/>
                <w:sz w:val="22"/>
                <w:szCs w:val="22"/>
                <w:lang w:bidi="ar"/>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continue"/>
            <w:noWrap w:val="0"/>
            <w:vAlign w:val="center"/>
          </w:tcPr>
          <w:p>
            <w:pPr>
              <w:jc w:val="center"/>
              <w:rPr>
                <w:rFonts w:hint="eastAsia" w:ascii="宋体" w:hAnsi="宋体" w:cs="宋体"/>
                <w:color w:val="000000"/>
                <w:sz w:val="22"/>
                <w:szCs w:val="22"/>
              </w:rPr>
            </w:pPr>
          </w:p>
        </w:tc>
        <w:tc>
          <w:tcPr>
            <w:tcW w:w="1835" w:type="dxa"/>
            <w:gridSpan w:val="2"/>
            <w:vMerge w:val="continue"/>
            <w:noWrap/>
            <w:vAlign w:val="center"/>
          </w:tcPr>
          <w:p>
            <w:pPr>
              <w:rPr>
                <w:rFonts w:hint="eastAsia" w:ascii="宋体" w:hAnsi="宋体" w:cs="宋体"/>
                <w:color w:val="000000"/>
                <w:sz w:val="22"/>
                <w:szCs w:val="22"/>
              </w:rPr>
            </w:pPr>
          </w:p>
        </w:tc>
        <w:tc>
          <w:tcPr>
            <w:tcW w:w="4304" w:type="dxa"/>
            <w:noWrap w:val="0"/>
            <w:vAlign w:val="center"/>
          </w:tcPr>
          <w:p>
            <w:pPr>
              <w:jc w:val="both"/>
              <w:textAlignment w:val="center"/>
              <w:rPr>
                <w:rFonts w:hint="eastAsia" w:ascii="宋体" w:hAnsi="宋体" w:cs="宋体"/>
                <w:color w:val="000000"/>
                <w:sz w:val="22"/>
                <w:szCs w:val="22"/>
              </w:rPr>
            </w:pPr>
            <w:r>
              <w:rPr>
                <w:rFonts w:hint="eastAsia" w:ascii="宋体" w:hAnsi="宋体" w:cs="宋体"/>
                <w:color w:val="000000"/>
                <w:sz w:val="22"/>
                <w:szCs w:val="22"/>
              </w:rPr>
              <w:t>单位是否严格按照制度规定管理“三公”经费。</w:t>
            </w:r>
          </w:p>
        </w:tc>
        <w:tc>
          <w:tcPr>
            <w:tcW w:w="796" w:type="dxa"/>
            <w:noWrap w:val="0"/>
            <w:vAlign w:val="center"/>
          </w:tcPr>
          <w:p>
            <w:pPr>
              <w:jc w:val="center"/>
              <w:rPr>
                <w:rFonts w:hint="eastAsia" w:ascii="宋体" w:hAnsi="宋体" w:cs="宋体"/>
                <w:color w:val="000000"/>
                <w:sz w:val="22"/>
                <w:szCs w:val="22"/>
              </w:rPr>
            </w:pPr>
            <w:r>
              <w:rPr>
                <w:rFonts w:hint="eastAsia" w:ascii="宋体" w:hAnsi="宋体" w:cs="宋体"/>
                <w:color w:val="000000"/>
                <w:sz w:val="22"/>
                <w:szCs w:val="22"/>
              </w:rPr>
              <w:t>1</w:t>
            </w:r>
          </w:p>
        </w:tc>
        <w:tc>
          <w:tcPr>
            <w:tcW w:w="5478" w:type="dxa"/>
            <w:noWrap w:val="0"/>
            <w:vAlign w:val="center"/>
          </w:tcPr>
          <w:p>
            <w:pPr>
              <w:rPr>
                <w:rFonts w:hint="eastAsia" w:ascii="宋体" w:hAnsi="宋体" w:cs="宋体"/>
                <w:color w:val="000000"/>
                <w:sz w:val="22"/>
                <w:szCs w:val="22"/>
                <w:lang w:bidi="ar"/>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continue"/>
            <w:noWrap w:val="0"/>
            <w:vAlign w:val="center"/>
          </w:tcPr>
          <w:p>
            <w:pPr>
              <w:jc w:val="center"/>
              <w:rPr>
                <w:rFonts w:hint="eastAsia" w:ascii="宋体" w:hAnsi="宋体" w:cs="宋体"/>
                <w:color w:val="000000"/>
                <w:sz w:val="22"/>
                <w:szCs w:val="22"/>
              </w:rPr>
            </w:pPr>
          </w:p>
        </w:tc>
        <w:tc>
          <w:tcPr>
            <w:tcW w:w="1835" w:type="dxa"/>
            <w:gridSpan w:val="2"/>
            <w:vMerge w:val="continue"/>
            <w:noWrap/>
            <w:vAlign w:val="center"/>
          </w:tcPr>
          <w:p>
            <w:pPr>
              <w:rPr>
                <w:rFonts w:hint="eastAsia" w:ascii="宋体" w:hAnsi="宋体" w:cs="宋体"/>
                <w:color w:val="000000"/>
                <w:sz w:val="22"/>
                <w:szCs w:val="22"/>
              </w:rPr>
            </w:pPr>
          </w:p>
        </w:tc>
        <w:tc>
          <w:tcPr>
            <w:tcW w:w="4304" w:type="dxa"/>
            <w:noWrap w:val="0"/>
            <w:vAlign w:val="center"/>
          </w:tcPr>
          <w:p>
            <w:pPr>
              <w:jc w:val="both"/>
              <w:textAlignment w:val="center"/>
              <w:rPr>
                <w:rFonts w:hint="eastAsia" w:ascii="宋体" w:hAnsi="宋体" w:cs="宋体"/>
                <w:color w:val="000000"/>
                <w:sz w:val="22"/>
                <w:szCs w:val="22"/>
              </w:rPr>
            </w:pPr>
            <w:r>
              <w:rPr>
                <w:rFonts w:hint="eastAsia" w:ascii="宋体" w:hAnsi="宋体" w:cs="宋体"/>
                <w:color w:val="000000"/>
                <w:sz w:val="22"/>
                <w:szCs w:val="22"/>
              </w:rPr>
              <w:t>大额债务的举债是否进行充分论证，并经集体决策。</w:t>
            </w:r>
          </w:p>
        </w:tc>
        <w:tc>
          <w:tcPr>
            <w:tcW w:w="796" w:type="dxa"/>
            <w:noWrap w:val="0"/>
            <w:vAlign w:val="center"/>
          </w:tcPr>
          <w:p>
            <w:pPr>
              <w:jc w:val="center"/>
              <w:rPr>
                <w:rFonts w:hint="eastAsia" w:ascii="宋体" w:hAnsi="宋体" w:cs="宋体"/>
                <w:color w:val="000000"/>
                <w:sz w:val="22"/>
                <w:szCs w:val="22"/>
              </w:rPr>
            </w:pPr>
            <w:r>
              <w:rPr>
                <w:rFonts w:hint="eastAsia" w:ascii="宋体" w:hAnsi="宋体" w:cs="宋体"/>
                <w:color w:val="000000"/>
                <w:sz w:val="22"/>
                <w:szCs w:val="22"/>
              </w:rPr>
              <w:t>1</w:t>
            </w:r>
          </w:p>
        </w:tc>
        <w:tc>
          <w:tcPr>
            <w:tcW w:w="5478" w:type="dxa"/>
            <w:noWrap w:val="0"/>
            <w:vAlign w:val="center"/>
          </w:tcPr>
          <w:p>
            <w:pPr>
              <w:rPr>
                <w:rFonts w:hint="eastAsia" w:ascii="宋体" w:hAnsi="宋体" w:cs="宋体"/>
                <w:color w:val="000000"/>
                <w:sz w:val="22"/>
                <w:szCs w:val="22"/>
                <w:lang w:bidi="ar"/>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restart"/>
            <w:noWrap w:val="0"/>
            <w:vAlign w:val="center"/>
          </w:tcPr>
          <w:p>
            <w:pPr>
              <w:jc w:val="center"/>
              <w:rPr>
                <w:rFonts w:hint="eastAsia" w:ascii="宋体" w:hAnsi="宋体" w:cs="宋体"/>
                <w:color w:val="000000"/>
                <w:sz w:val="22"/>
                <w:szCs w:val="22"/>
              </w:rPr>
            </w:pPr>
            <w:r>
              <w:rPr>
                <w:rFonts w:hint="eastAsia" w:ascii="宋体" w:hAnsi="宋体" w:cs="宋体"/>
                <w:color w:val="000000"/>
                <w:sz w:val="22"/>
                <w:szCs w:val="22"/>
                <w:lang w:bidi="ar"/>
              </w:rPr>
              <w:t>采购业务控制</w:t>
            </w:r>
          </w:p>
        </w:tc>
        <w:tc>
          <w:tcPr>
            <w:tcW w:w="1835" w:type="dxa"/>
            <w:gridSpan w:val="2"/>
            <w:noWrap w:val="0"/>
            <w:vAlign w:val="center"/>
          </w:tcPr>
          <w:p>
            <w:pPr>
              <w:textAlignment w:val="center"/>
              <w:rPr>
                <w:rFonts w:hint="eastAsia" w:ascii="宋体" w:hAnsi="宋体" w:cs="宋体"/>
                <w:color w:val="000000"/>
                <w:sz w:val="22"/>
                <w:szCs w:val="22"/>
              </w:rPr>
            </w:pPr>
            <w:r>
              <w:rPr>
                <w:rFonts w:hint="eastAsia" w:ascii="宋体" w:hAnsi="宋体" w:cs="宋体"/>
                <w:color w:val="000000"/>
                <w:sz w:val="22"/>
                <w:szCs w:val="22"/>
                <w:lang w:bidi="ar"/>
              </w:rPr>
              <w:t>政府采购业务内部控制建</w:t>
            </w:r>
            <w:r>
              <w:rPr>
                <w:rFonts w:hint="eastAsia" w:ascii="宋体" w:hAnsi="宋体" w:cs="宋体"/>
                <w:color w:val="000000"/>
                <w:sz w:val="22"/>
                <w:szCs w:val="22"/>
                <w:lang w:eastAsia="zh-CN" w:bidi="ar"/>
              </w:rPr>
              <w:t>立</w:t>
            </w:r>
            <w:r>
              <w:rPr>
                <w:rFonts w:hint="eastAsia" w:ascii="宋体" w:hAnsi="宋体" w:cs="宋体"/>
                <w:color w:val="000000"/>
                <w:sz w:val="22"/>
                <w:szCs w:val="22"/>
                <w:lang w:bidi="ar"/>
              </w:rPr>
              <w:t>情况</w:t>
            </w:r>
          </w:p>
        </w:tc>
        <w:tc>
          <w:tcPr>
            <w:tcW w:w="4304" w:type="dxa"/>
            <w:noWrap w:val="0"/>
            <w:vAlign w:val="center"/>
          </w:tcPr>
          <w:p>
            <w:pPr>
              <w:jc w:val="both"/>
              <w:textAlignment w:val="center"/>
              <w:rPr>
                <w:rFonts w:hint="eastAsia" w:ascii="宋体" w:hAnsi="宋体" w:cs="宋体"/>
                <w:color w:val="000000"/>
                <w:sz w:val="22"/>
                <w:szCs w:val="22"/>
              </w:rPr>
            </w:pPr>
            <w:r>
              <w:rPr>
                <w:rFonts w:hint="eastAsia" w:ascii="宋体" w:hAnsi="宋体" w:cs="宋体"/>
                <w:color w:val="000000"/>
                <w:sz w:val="22"/>
                <w:szCs w:val="22"/>
                <w:lang w:bidi="ar"/>
              </w:rPr>
              <w:t>单位是否依据法律法规、上级部门工作要求和内部管理实际需要，建立涵盖政府采购预算与计划管理、政府采购需求管理、政府采购活动管理、履约验收管理等环节的政府采购业务内部控制制度。</w:t>
            </w:r>
          </w:p>
        </w:tc>
        <w:tc>
          <w:tcPr>
            <w:tcW w:w="796" w:type="dxa"/>
            <w:noWrap w:val="0"/>
            <w:vAlign w:val="center"/>
          </w:tcPr>
          <w:p>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4</w:t>
            </w:r>
          </w:p>
        </w:tc>
        <w:tc>
          <w:tcPr>
            <w:tcW w:w="5478" w:type="dxa"/>
            <w:noWrap w:val="0"/>
            <w:vAlign w:val="center"/>
          </w:tcPr>
          <w:p>
            <w:pPr>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已全面建立内部控制制度体系的，得满分；每发现一项应建立未建立相关制度的，扣1分，扣完为止。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continue"/>
            <w:noWrap w:val="0"/>
            <w:vAlign w:val="center"/>
          </w:tcPr>
          <w:p>
            <w:pPr>
              <w:jc w:val="center"/>
              <w:rPr>
                <w:rFonts w:hint="eastAsia" w:ascii="宋体" w:hAnsi="宋体" w:cs="宋体"/>
                <w:color w:val="000000"/>
                <w:sz w:val="22"/>
                <w:szCs w:val="22"/>
              </w:rPr>
            </w:pPr>
          </w:p>
        </w:tc>
        <w:tc>
          <w:tcPr>
            <w:tcW w:w="1835" w:type="dxa"/>
            <w:gridSpan w:val="2"/>
            <w:vMerge w:val="restart"/>
            <w:noWrap w:val="0"/>
            <w:vAlign w:val="center"/>
          </w:tcPr>
          <w:p>
            <w:pPr>
              <w:rPr>
                <w:rFonts w:hint="eastAsia" w:ascii="宋体" w:hAnsi="宋体" w:cs="宋体"/>
                <w:color w:val="000000"/>
                <w:sz w:val="22"/>
                <w:szCs w:val="22"/>
              </w:rPr>
            </w:pPr>
            <w:r>
              <w:rPr>
                <w:rFonts w:hint="eastAsia" w:ascii="宋体" w:hAnsi="宋体" w:cs="宋体"/>
                <w:color w:val="000000"/>
                <w:sz w:val="22"/>
                <w:szCs w:val="22"/>
                <w:lang w:bidi="ar"/>
              </w:rPr>
              <w:t>政府采购业务内部控制实施情况</w:t>
            </w:r>
          </w:p>
        </w:tc>
        <w:tc>
          <w:tcPr>
            <w:tcW w:w="4304" w:type="dxa"/>
            <w:noWrap w:val="0"/>
            <w:vAlign w:val="center"/>
          </w:tcPr>
          <w:p>
            <w:pPr>
              <w:jc w:val="both"/>
              <w:textAlignment w:val="center"/>
              <w:rPr>
                <w:rFonts w:hint="eastAsia" w:ascii="宋体" w:hAnsi="宋体" w:cs="宋体"/>
                <w:color w:val="000000"/>
                <w:sz w:val="22"/>
                <w:szCs w:val="22"/>
              </w:rPr>
            </w:pPr>
            <w:r>
              <w:rPr>
                <w:rFonts w:hint="eastAsia" w:ascii="宋体" w:hAnsi="宋体" w:cs="宋体"/>
                <w:color w:val="000000"/>
                <w:sz w:val="22"/>
                <w:szCs w:val="22"/>
              </w:rPr>
              <w:t>单位是否按照制度规定选择政府采购的模式（集中采购、分散采购）、采购方式（招标、竞争性谈判、询价、单一来源采购、框架协议采购、竞争性磋商采购、其他）。</w:t>
            </w:r>
          </w:p>
        </w:tc>
        <w:tc>
          <w:tcPr>
            <w:tcW w:w="796" w:type="dxa"/>
            <w:noWrap w:val="0"/>
            <w:vAlign w:val="center"/>
          </w:tcPr>
          <w:p>
            <w:pPr>
              <w:jc w:val="center"/>
              <w:rPr>
                <w:rFonts w:ascii="宋体" w:hAnsi="宋体" w:cs="宋体"/>
                <w:color w:val="000000"/>
                <w:sz w:val="22"/>
                <w:szCs w:val="22"/>
              </w:rPr>
            </w:pPr>
            <w:r>
              <w:rPr>
                <w:rFonts w:hint="eastAsia" w:ascii="宋体" w:hAnsi="宋体" w:cs="宋体"/>
                <w:color w:val="000000"/>
                <w:sz w:val="22"/>
                <w:szCs w:val="22"/>
              </w:rPr>
              <w:t>2</w:t>
            </w:r>
          </w:p>
        </w:tc>
        <w:tc>
          <w:tcPr>
            <w:tcW w:w="5478" w:type="dxa"/>
            <w:noWrap w:val="0"/>
            <w:vAlign w:val="center"/>
          </w:tcPr>
          <w:p>
            <w:pPr>
              <w:rPr>
                <w:rFonts w:hint="eastAsia" w:ascii="宋体" w:hAnsi="宋体" w:cs="宋体"/>
                <w:color w:val="000000"/>
                <w:sz w:val="22"/>
                <w:szCs w:val="22"/>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continue"/>
            <w:noWrap w:val="0"/>
            <w:vAlign w:val="center"/>
          </w:tcPr>
          <w:p>
            <w:pPr>
              <w:jc w:val="center"/>
              <w:rPr>
                <w:rFonts w:hint="eastAsia" w:ascii="宋体" w:hAnsi="宋体" w:cs="宋体"/>
                <w:color w:val="000000"/>
                <w:sz w:val="22"/>
                <w:szCs w:val="22"/>
              </w:rPr>
            </w:pPr>
          </w:p>
        </w:tc>
        <w:tc>
          <w:tcPr>
            <w:tcW w:w="1835" w:type="dxa"/>
            <w:gridSpan w:val="2"/>
            <w:vMerge w:val="continue"/>
            <w:noWrap w:val="0"/>
            <w:vAlign w:val="center"/>
          </w:tcPr>
          <w:p>
            <w:pPr>
              <w:rPr>
                <w:rFonts w:hint="eastAsia" w:ascii="宋体" w:hAnsi="宋体" w:cs="宋体"/>
                <w:color w:val="000000"/>
                <w:sz w:val="22"/>
                <w:szCs w:val="22"/>
              </w:rPr>
            </w:pPr>
          </w:p>
        </w:tc>
        <w:tc>
          <w:tcPr>
            <w:tcW w:w="4304" w:type="dxa"/>
            <w:noWrap w:val="0"/>
            <w:vAlign w:val="center"/>
          </w:tcPr>
          <w:p>
            <w:pPr>
              <w:jc w:val="both"/>
              <w:textAlignment w:val="center"/>
              <w:rPr>
                <w:rFonts w:hint="eastAsia" w:ascii="宋体" w:hAnsi="宋体" w:cs="宋体"/>
                <w:color w:val="000000"/>
                <w:sz w:val="22"/>
                <w:szCs w:val="22"/>
              </w:rPr>
            </w:pPr>
            <w:r>
              <w:rPr>
                <w:rFonts w:hint="eastAsia" w:ascii="宋体" w:hAnsi="宋体" w:cs="宋体"/>
                <w:color w:val="000000"/>
                <w:sz w:val="22"/>
                <w:szCs w:val="22"/>
              </w:rPr>
              <w:t>单位是否按照制度规定执行采购方式变更审批程序。</w:t>
            </w:r>
          </w:p>
        </w:tc>
        <w:tc>
          <w:tcPr>
            <w:tcW w:w="796" w:type="dxa"/>
            <w:noWrap w:val="0"/>
            <w:vAlign w:val="center"/>
          </w:tcPr>
          <w:p>
            <w:pPr>
              <w:jc w:val="center"/>
              <w:rPr>
                <w:rFonts w:ascii="宋体" w:hAnsi="宋体" w:cs="宋体"/>
                <w:color w:val="000000"/>
                <w:sz w:val="22"/>
                <w:szCs w:val="22"/>
              </w:rPr>
            </w:pPr>
            <w:r>
              <w:rPr>
                <w:rFonts w:hint="eastAsia" w:ascii="宋体" w:hAnsi="宋体" w:cs="宋体"/>
                <w:color w:val="000000"/>
                <w:sz w:val="22"/>
                <w:szCs w:val="22"/>
              </w:rPr>
              <w:t>1</w:t>
            </w:r>
          </w:p>
        </w:tc>
        <w:tc>
          <w:tcPr>
            <w:tcW w:w="5478" w:type="dxa"/>
            <w:noWrap w:val="0"/>
            <w:vAlign w:val="center"/>
          </w:tcPr>
          <w:p>
            <w:pPr>
              <w:rPr>
                <w:rFonts w:hint="eastAsia" w:ascii="宋体" w:hAnsi="宋体" w:cs="宋体"/>
                <w:color w:val="000000"/>
                <w:sz w:val="22"/>
                <w:szCs w:val="22"/>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continue"/>
            <w:noWrap w:val="0"/>
            <w:vAlign w:val="center"/>
          </w:tcPr>
          <w:p>
            <w:pPr>
              <w:jc w:val="center"/>
              <w:rPr>
                <w:rFonts w:hint="eastAsia" w:ascii="宋体" w:hAnsi="宋体" w:cs="宋体"/>
                <w:color w:val="000000"/>
                <w:sz w:val="22"/>
                <w:szCs w:val="22"/>
              </w:rPr>
            </w:pPr>
          </w:p>
        </w:tc>
        <w:tc>
          <w:tcPr>
            <w:tcW w:w="1835" w:type="dxa"/>
            <w:gridSpan w:val="2"/>
            <w:vMerge w:val="continue"/>
            <w:noWrap w:val="0"/>
            <w:vAlign w:val="center"/>
          </w:tcPr>
          <w:p>
            <w:pPr>
              <w:rPr>
                <w:rFonts w:hint="eastAsia" w:ascii="宋体" w:hAnsi="宋体" w:cs="宋体"/>
                <w:color w:val="000000"/>
                <w:sz w:val="22"/>
                <w:szCs w:val="22"/>
              </w:rPr>
            </w:pPr>
          </w:p>
        </w:tc>
        <w:tc>
          <w:tcPr>
            <w:tcW w:w="4304" w:type="dxa"/>
            <w:noWrap w:val="0"/>
            <w:vAlign w:val="center"/>
          </w:tcPr>
          <w:p>
            <w:pPr>
              <w:jc w:val="both"/>
              <w:textAlignment w:val="center"/>
              <w:rPr>
                <w:rFonts w:hint="eastAsia" w:ascii="宋体" w:hAnsi="宋体" w:cs="宋体"/>
                <w:color w:val="000000"/>
                <w:sz w:val="22"/>
                <w:szCs w:val="22"/>
              </w:rPr>
            </w:pPr>
            <w:r>
              <w:rPr>
                <w:rFonts w:hint="eastAsia" w:ascii="宋体" w:hAnsi="宋体" w:cs="宋体"/>
                <w:color w:val="000000"/>
                <w:sz w:val="22"/>
                <w:szCs w:val="22"/>
              </w:rPr>
              <w:t>政府采购信息公开的主体、范围、时间、内容、程序是否按照有关规定执行。</w:t>
            </w:r>
          </w:p>
        </w:tc>
        <w:tc>
          <w:tcPr>
            <w:tcW w:w="796" w:type="dxa"/>
            <w:noWrap w:val="0"/>
            <w:vAlign w:val="center"/>
          </w:tcPr>
          <w:p>
            <w:pPr>
              <w:jc w:val="center"/>
              <w:rPr>
                <w:rFonts w:ascii="宋体" w:hAnsi="宋体" w:cs="宋体"/>
                <w:color w:val="000000"/>
                <w:sz w:val="22"/>
                <w:szCs w:val="22"/>
              </w:rPr>
            </w:pPr>
            <w:r>
              <w:rPr>
                <w:rFonts w:hint="eastAsia" w:ascii="宋体" w:hAnsi="宋体" w:cs="宋体"/>
                <w:color w:val="000000"/>
                <w:sz w:val="22"/>
                <w:szCs w:val="22"/>
              </w:rPr>
              <w:t>2</w:t>
            </w:r>
          </w:p>
        </w:tc>
        <w:tc>
          <w:tcPr>
            <w:tcW w:w="5478" w:type="dxa"/>
            <w:noWrap w:val="0"/>
            <w:vAlign w:val="center"/>
          </w:tcPr>
          <w:p>
            <w:pPr>
              <w:rPr>
                <w:rFonts w:hint="eastAsia" w:ascii="宋体" w:hAnsi="宋体" w:cs="宋体"/>
                <w:color w:val="000000"/>
                <w:sz w:val="22"/>
                <w:szCs w:val="22"/>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continue"/>
            <w:noWrap w:val="0"/>
            <w:vAlign w:val="center"/>
          </w:tcPr>
          <w:p>
            <w:pPr>
              <w:jc w:val="center"/>
              <w:rPr>
                <w:rFonts w:hint="eastAsia" w:ascii="宋体" w:hAnsi="宋体" w:cs="宋体"/>
                <w:color w:val="000000"/>
                <w:sz w:val="22"/>
                <w:szCs w:val="22"/>
              </w:rPr>
            </w:pPr>
          </w:p>
        </w:tc>
        <w:tc>
          <w:tcPr>
            <w:tcW w:w="1835" w:type="dxa"/>
            <w:gridSpan w:val="2"/>
            <w:vMerge w:val="continue"/>
            <w:noWrap w:val="0"/>
            <w:vAlign w:val="center"/>
          </w:tcPr>
          <w:p>
            <w:pPr>
              <w:rPr>
                <w:rFonts w:hint="eastAsia" w:ascii="宋体" w:hAnsi="宋体" w:cs="宋体"/>
                <w:color w:val="000000"/>
                <w:sz w:val="22"/>
                <w:szCs w:val="22"/>
              </w:rPr>
            </w:pPr>
          </w:p>
        </w:tc>
        <w:tc>
          <w:tcPr>
            <w:tcW w:w="4304" w:type="dxa"/>
            <w:noWrap w:val="0"/>
            <w:vAlign w:val="center"/>
          </w:tcPr>
          <w:p>
            <w:pPr>
              <w:jc w:val="both"/>
              <w:textAlignment w:val="center"/>
              <w:rPr>
                <w:rFonts w:hint="eastAsia" w:ascii="宋体" w:hAnsi="宋体" w:cs="宋体"/>
                <w:color w:val="000000"/>
                <w:sz w:val="22"/>
                <w:szCs w:val="22"/>
              </w:rPr>
            </w:pPr>
            <w:r>
              <w:rPr>
                <w:rFonts w:hint="eastAsia" w:ascii="宋体" w:hAnsi="宋体" w:cs="宋体"/>
                <w:color w:val="000000"/>
                <w:sz w:val="22"/>
                <w:szCs w:val="22"/>
              </w:rPr>
              <w:t>单位是否按照制度规定执行政府采购履约验收程序。</w:t>
            </w:r>
          </w:p>
        </w:tc>
        <w:tc>
          <w:tcPr>
            <w:tcW w:w="796" w:type="dxa"/>
            <w:noWrap w:val="0"/>
            <w:vAlign w:val="center"/>
          </w:tcPr>
          <w:p>
            <w:pPr>
              <w:jc w:val="center"/>
              <w:rPr>
                <w:rFonts w:ascii="宋体" w:hAnsi="宋体" w:cs="宋体"/>
                <w:color w:val="000000"/>
                <w:sz w:val="22"/>
                <w:szCs w:val="22"/>
              </w:rPr>
            </w:pPr>
            <w:r>
              <w:rPr>
                <w:rFonts w:hint="eastAsia" w:ascii="宋体" w:hAnsi="宋体" w:cs="宋体"/>
                <w:color w:val="000000"/>
                <w:sz w:val="22"/>
                <w:szCs w:val="22"/>
              </w:rPr>
              <w:t>1</w:t>
            </w:r>
          </w:p>
        </w:tc>
        <w:tc>
          <w:tcPr>
            <w:tcW w:w="5478" w:type="dxa"/>
            <w:noWrap w:val="0"/>
            <w:vAlign w:val="center"/>
          </w:tcPr>
          <w:p>
            <w:pPr>
              <w:rPr>
                <w:rFonts w:hint="eastAsia" w:ascii="宋体" w:hAnsi="宋体" w:cs="宋体"/>
                <w:color w:val="000000"/>
                <w:sz w:val="22"/>
                <w:szCs w:val="22"/>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950" w:type="dxa"/>
            <w:vMerge w:val="continue"/>
            <w:noWrap w:val="0"/>
            <w:vAlign w:val="center"/>
          </w:tcPr>
          <w:p>
            <w:pPr>
              <w:jc w:val="center"/>
              <w:textAlignment w:val="center"/>
              <w:rPr>
                <w:rFonts w:hint="eastAsia" w:ascii="宋体" w:hAnsi="宋体" w:cs="宋体"/>
                <w:color w:val="000000"/>
                <w:sz w:val="22"/>
                <w:szCs w:val="22"/>
              </w:rPr>
            </w:pPr>
          </w:p>
        </w:tc>
        <w:tc>
          <w:tcPr>
            <w:tcW w:w="1304" w:type="dxa"/>
            <w:vMerge w:val="restart"/>
            <w:noWrap w:val="0"/>
            <w:vAlign w:val="center"/>
          </w:tcPr>
          <w:p>
            <w:pPr>
              <w:jc w:val="center"/>
              <w:textAlignment w:val="center"/>
              <w:rPr>
                <w:rFonts w:hint="eastAsia" w:ascii="宋体" w:hAnsi="宋体" w:cs="宋体"/>
                <w:color w:val="000000"/>
                <w:sz w:val="22"/>
                <w:szCs w:val="22"/>
              </w:rPr>
            </w:pPr>
            <w:r>
              <w:rPr>
                <w:rFonts w:hint="eastAsia" w:ascii="宋体" w:hAnsi="宋体" w:cs="宋体"/>
                <w:color w:val="000000"/>
                <w:sz w:val="22"/>
                <w:szCs w:val="22"/>
              </w:rPr>
              <w:t>资产业务内部控制</w:t>
            </w:r>
          </w:p>
        </w:tc>
        <w:tc>
          <w:tcPr>
            <w:tcW w:w="1835" w:type="dxa"/>
            <w:gridSpan w:val="2"/>
            <w:noWrap w:val="0"/>
            <w:vAlign w:val="center"/>
          </w:tcPr>
          <w:p>
            <w:pPr>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资产业务内部控制建</w:t>
            </w:r>
            <w:r>
              <w:rPr>
                <w:rFonts w:hint="eastAsia" w:ascii="宋体" w:hAnsi="宋体" w:cs="宋体"/>
                <w:color w:val="000000"/>
                <w:sz w:val="22"/>
                <w:szCs w:val="22"/>
                <w:lang w:eastAsia="zh-CN" w:bidi="ar"/>
              </w:rPr>
              <w:t>立</w:t>
            </w:r>
            <w:r>
              <w:rPr>
                <w:rFonts w:hint="eastAsia" w:ascii="宋体" w:hAnsi="宋体" w:cs="宋体"/>
                <w:color w:val="000000"/>
                <w:sz w:val="22"/>
                <w:szCs w:val="22"/>
                <w:lang w:bidi="ar"/>
              </w:rPr>
              <w:t>情况</w:t>
            </w:r>
          </w:p>
          <w:p>
            <w:pPr>
              <w:rPr>
                <w:rFonts w:hint="eastAsia" w:ascii="宋体" w:hAnsi="宋体" w:cs="宋体"/>
                <w:color w:val="000000"/>
                <w:sz w:val="22"/>
                <w:szCs w:val="22"/>
              </w:rPr>
            </w:pPr>
          </w:p>
        </w:tc>
        <w:tc>
          <w:tcPr>
            <w:tcW w:w="4304" w:type="dxa"/>
            <w:noWrap w:val="0"/>
            <w:vAlign w:val="center"/>
          </w:tcPr>
          <w:p>
            <w:pPr>
              <w:jc w:val="both"/>
              <w:textAlignment w:val="center"/>
              <w:rPr>
                <w:rFonts w:hint="eastAsia" w:ascii="宋体" w:hAnsi="宋体" w:cs="宋体"/>
                <w:color w:val="000000"/>
                <w:sz w:val="22"/>
                <w:szCs w:val="22"/>
              </w:rPr>
            </w:pPr>
            <w:r>
              <w:rPr>
                <w:rFonts w:hint="eastAsia" w:ascii="宋体" w:hAnsi="宋体" w:cs="宋体"/>
                <w:color w:val="000000"/>
                <w:sz w:val="22"/>
                <w:szCs w:val="22"/>
                <w:lang w:bidi="ar"/>
              </w:rPr>
              <w:t>单位是否依据法律法规、上级部门工作要求和内部管理实际需要，建立涵盖货币资金、银行账户、实物资产、无形资产、对外投资等经济活动的资产业务内部控制制度。</w:t>
            </w:r>
          </w:p>
        </w:tc>
        <w:tc>
          <w:tcPr>
            <w:tcW w:w="796" w:type="dxa"/>
            <w:noWrap w:val="0"/>
            <w:vAlign w:val="center"/>
          </w:tcPr>
          <w:p>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4</w:t>
            </w:r>
          </w:p>
        </w:tc>
        <w:tc>
          <w:tcPr>
            <w:tcW w:w="5478" w:type="dxa"/>
            <w:noWrap w:val="0"/>
            <w:vAlign w:val="center"/>
          </w:tcPr>
          <w:p>
            <w:pPr>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已全面建立内部控制制度体系的，得满分；每发现一项应建立未建立相关制度的，扣1分，扣完为止。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continue"/>
            <w:noWrap w:val="0"/>
            <w:vAlign w:val="center"/>
          </w:tcPr>
          <w:p>
            <w:pPr>
              <w:jc w:val="center"/>
              <w:rPr>
                <w:rFonts w:hint="eastAsia" w:ascii="宋体" w:hAnsi="宋体" w:cs="宋体"/>
                <w:color w:val="000000"/>
                <w:sz w:val="22"/>
                <w:szCs w:val="22"/>
              </w:rPr>
            </w:pPr>
          </w:p>
        </w:tc>
        <w:tc>
          <w:tcPr>
            <w:tcW w:w="1835" w:type="dxa"/>
            <w:gridSpan w:val="2"/>
            <w:vMerge w:val="restart"/>
            <w:noWrap w:val="0"/>
            <w:vAlign w:val="center"/>
          </w:tcPr>
          <w:p>
            <w:pPr>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资产业务内部控制实施情况</w:t>
            </w:r>
          </w:p>
          <w:p>
            <w:pPr>
              <w:rPr>
                <w:rFonts w:hint="eastAsia" w:ascii="宋体" w:hAnsi="宋体" w:cs="宋体"/>
                <w:color w:val="000000"/>
                <w:sz w:val="22"/>
                <w:szCs w:val="22"/>
                <w:lang w:bidi="ar"/>
              </w:rPr>
            </w:pPr>
          </w:p>
        </w:tc>
        <w:tc>
          <w:tcPr>
            <w:tcW w:w="4304" w:type="dxa"/>
            <w:noWrap w:val="0"/>
            <w:vAlign w:val="center"/>
          </w:tcPr>
          <w:p>
            <w:pPr>
              <w:jc w:val="both"/>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单位是否按照制度规定，管理使用印鉴及电子支付工具。</w:t>
            </w:r>
          </w:p>
        </w:tc>
        <w:tc>
          <w:tcPr>
            <w:tcW w:w="796" w:type="dxa"/>
            <w:noWrap w:val="0"/>
            <w:vAlign w:val="center"/>
          </w:tcPr>
          <w:p>
            <w:pPr>
              <w:jc w:val="center"/>
              <w:rPr>
                <w:rFonts w:ascii="宋体" w:hAnsi="宋体" w:cs="宋体"/>
                <w:color w:val="000000"/>
                <w:sz w:val="22"/>
                <w:szCs w:val="22"/>
              </w:rPr>
            </w:pPr>
            <w:r>
              <w:rPr>
                <w:rFonts w:hint="eastAsia" w:ascii="宋体" w:hAnsi="宋体" w:cs="宋体"/>
                <w:color w:val="000000"/>
                <w:sz w:val="22"/>
                <w:szCs w:val="22"/>
              </w:rPr>
              <w:t>1</w:t>
            </w:r>
          </w:p>
        </w:tc>
        <w:tc>
          <w:tcPr>
            <w:tcW w:w="5478" w:type="dxa"/>
            <w:noWrap w:val="0"/>
            <w:vAlign w:val="center"/>
          </w:tcPr>
          <w:p>
            <w:pPr>
              <w:rPr>
                <w:rFonts w:hint="eastAsia" w:ascii="宋体" w:hAnsi="宋体" w:cs="宋体"/>
                <w:color w:val="000000"/>
                <w:sz w:val="22"/>
                <w:szCs w:val="22"/>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continue"/>
            <w:noWrap w:val="0"/>
            <w:vAlign w:val="center"/>
          </w:tcPr>
          <w:p>
            <w:pPr>
              <w:jc w:val="center"/>
              <w:rPr>
                <w:rFonts w:hint="eastAsia" w:ascii="宋体" w:hAnsi="宋体" w:cs="宋体"/>
                <w:color w:val="000000"/>
                <w:sz w:val="22"/>
                <w:szCs w:val="22"/>
              </w:rPr>
            </w:pPr>
          </w:p>
        </w:tc>
        <w:tc>
          <w:tcPr>
            <w:tcW w:w="1835" w:type="dxa"/>
            <w:gridSpan w:val="2"/>
            <w:vMerge w:val="continue"/>
            <w:noWrap w:val="0"/>
            <w:vAlign w:val="center"/>
          </w:tcPr>
          <w:p>
            <w:pPr>
              <w:rPr>
                <w:rFonts w:hint="eastAsia" w:ascii="宋体" w:hAnsi="宋体" w:cs="宋体"/>
                <w:color w:val="000000"/>
                <w:sz w:val="22"/>
                <w:szCs w:val="22"/>
                <w:lang w:bidi="ar"/>
              </w:rPr>
            </w:pPr>
          </w:p>
        </w:tc>
        <w:tc>
          <w:tcPr>
            <w:tcW w:w="4304" w:type="dxa"/>
            <w:noWrap w:val="0"/>
            <w:vAlign w:val="center"/>
          </w:tcPr>
          <w:p>
            <w:pPr>
              <w:jc w:val="both"/>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单位是否按照制度规定，开展货币资金盘点、银行对账。</w:t>
            </w:r>
          </w:p>
        </w:tc>
        <w:tc>
          <w:tcPr>
            <w:tcW w:w="796" w:type="dxa"/>
            <w:noWrap w:val="0"/>
            <w:vAlign w:val="center"/>
          </w:tcPr>
          <w:p>
            <w:pPr>
              <w:jc w:val="center"/>
              <w:rPr>
                <w:rFonts w:ascii="宋体" w:hAnsi="宋体" w:cs="宋体"/>
                <w:color w:val="000000"/>
                <w:sz w:val="22"/>
                <w:szCs w:val="22"/>
              </w:rPr>
            </w:pPr>
            <w:r>
              <w:rPr>
                <w:rFonts w:hint="eastAsia" w:ascii="宋体" w:hAnsi="宋体" w:cs="宋体"/>
                <w:color w:val="000000"/>
                <w:sz w:val="22"/>
                <w:szCs w:val="22"/>
              </w:rPr>
              <w:t>2</w:t>
            </w:r>
          </w:p>
        </w:tc>
        <w:tc>
          <w:tcPr>
            <w:tcW w:w="5478" w:type="dxa"/>
            <w:noWrap w:val="0"/>
            <w:vAlign w:val="center"/>
          </w:tcPr>
          <w:p>
            <w:pPr>
              <w:rPr>
                <w:rFonts w:hint="eastAsia" w:ascii="宋体" w:hAnsi="宋体" w:cs="宋体"/>
                <w:color w:val="000000"/>
                <w:sz w:val="22"/>
                <w:szCs w:val="22"/>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continue"/>
            <w:noWrap w:val="0"/>
            <w:vAlign w:val="center"/>
          </w:tcPr>
          <w:p>
            <w:pPr>
              <w:jc w:val="center"/>
              <w:rPr>
                <w:rFonts w:hint="eastAsia" w:ascii="宋体" w:hAnsi="宋体" w:cs="宋体"/>
                <w:color w:val="000000"/>
                <w:sz w:val="22"/>
                <w:szCs w:val="22"/>
              </w:rPr>
            </w:pPr>
          </w:p>
        </w:tc>
        <w:tc>
          <w:tcPr>
            <w:tcW w:w="1835" w:type="dxa"/>
            <w:gridSpan w:val="2"/>
            <w:vMerge w:val="continue"/>
            <w:noWrap w:val="0"/>
            <w:vAlign w:val="center"/>
          </w:tcPr>
          <w:p>
            <w:pPr>
              <w:rPr>
                <w:rFonts w:hint="eastAsia" w:ascii="宋体" w:hAnsi="宋体" w:cs="宋体"/>
                <w:color w:val="000000"/>
                <w:sz w:val="22"/>
                <w:szCs w:val="22"/>
                <w:lang w:bidi="ar"/>
              </w:rPr>
            </w:pPr>
          </w:p>
        </w:tc>
        <w:tc>
          <w:tcPr>
            <w:tcW w:w="4304" w:type="dxa"/>
            <w:noWrap w:val="0"/>
            <w:vAlign w:val="center"/>
          </w:tcPr>
          <w:p>
            <w:pPr>
              <w:jc w:val="both"/>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单位是否按照制度规定规范执行资产的调剂、租借、对外投资、处置及资产收益等程序。</w:t>
            </w:r>
          </w:p>
        </w:tc>
        <w:tc>
          <w:tcPr>
            <w:tcW w:w="796" w:type="dxa"/>
            <w:noWrap w:val="0"/>
            <w:vAlign w:val="center"/>
          </w:tcPr>
          <w:p>
            <w:pPr>
              <w:jc w:val="center"/>
              <w:rPr>
                <w:rFonts w:ascii="宋体" w:hAnsi="宋体" w:cs="宋体"/>
                <w:color w:val="000000"/>
                <w:sz w:val="22"/>
                <w:szCs w:val="22"/>
              </w:rPr>
            </w:pPr>
            <w:r>
              <w:rPr>
                <w:rFonts w:hint="eastAsia" w:ascii="宋体" w:hAnsi="宋体" w:cs="宋体"/>
                <w:color w:val="000000"/>
                <w:sz w:val="22"/>
                <w:szCs w:val="22"/>
              </w:rPr>
              <w:t>1</w:t>
            </w:r>
          </w:p>
        </w:tc>
        <w:tc>
          <w:tcPr>
            <w:tcW w:w="5478" w:type="dxa"/>
            <w:noWrap w:val="0"/>
            <w:vAlign w:val="center"/>
          </w:tcPr>
          <w:p>
            <w:pPr>
              <w:rPr>
                <w:rFonts w:hint="eastAsia" w:ascii="宋体" w:hAnsi="宋体" w:cs="宋体"/>
                <w:color w:val="000000"/>
                <w:sz w:val="22"/>
                <w:szCs w:val="22"/>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continue"/>
            <w:noWrap w:val="0"/>
            <w:vAlign w:val="center"/>
          </w:tcPr>
          <w:p>
            <w:pPr>
              <w:jc w:val="center"/>
              <w:rPr>
                <w:rFonts w:hint="eastAsia" w:ascii="宋体" w:hAnsi="宋体" w:cs="宋体"/>
                <w:color w:val="000000"/>
                <w:sz w:val="22"/>
                <w:szCs w:val="22"/>
              </w:rPr>
            </w:pPr>
          </w:p>
        </w:tc>
        <w:tc>
          <w:tcPr>
            <w:tcW w:w="1835" w:type="dxa"/>
            <w:gridSpan w:val="2"/>
            <w:vMerge w:val="continue"/>
            <w:noWrap w:val="0"/>
            <w:vAlign w:val="center"/>
          </w:tcPr>
          <w:p>
            <w:pPr>
              <w:rPr>
                <w:rFonts w:hint="eastAsia" w:ascii="宋体" w:hAnsi="宋体" w:cs="宋体"/>
                <w:color w:val="000000"/>
                <w:sz w:val="22"/>
                <w:szCs w:val="22"/>
                <w:lang w:bidi="ar"/>
              </w:rPr>
            </w:pPr>
          </w:p>
        </w:tc>
        <w:tc>
          <w:tcPr>
            <w:tcW w:w="4304" w:type="dxa"/>
            <w:noWrap w:val="0"/>
            <w:vAlign w:val="center"/>
          </w:tcPr>
          <w:p>
            <w:pPr>
              <w:jc w:val="both"/>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单位是否按照制度规定对固定资产、存货等实物资产开展定期盘点、清查。</w:t>
            </w:r>
          </w:p>
        </w:tc>
        <w:tc>
          <w:tcPr>
            <w:tcW w:w="796" w:type="dxa"/>
            <w:noWrap w:val="0"/>
            <w:vAlign w:val="center"/>
          </w:tcPr>
          <w:p>
            <w:pPr>
              <w:jc w:val="center"/>
              <w:rPr>
                <w:rFonts w:ascii="宋体" w:hAnsi="宋体" w:cs="宋体"/>
                <w:color w:val="000000"/>
                <w:sz w:val="22"/>
                <w:szCs w:val="22"/>
              </w:rPr>
            </w:pPr>
            <w:r>
              <w:rPr>
                <w:rFonts w:hint="eastAsia" w:ascii="宋体" w:hAnsi="宋体" w:cs="宋体"/>
                <w:color w:val="000000"/>
                <w:sz w:val="22"/>
                <w:szCs w:val="22"/>
              </w:rPr>
              <w:t>2</w:t>
            </w:r>
          </w:p>
        </w:tc>
        <w:tc>
          <w:tcPr>
            <w:tcW w:w="5478" w:type="dxa"/>
            <w:noWrap w:val="0"/>
            <w:vAlign w:val="center"/>
          </w:tcPr>
          <w:p>
            <w:pPr>
              <w:rPr>
                <w:rFonts w:hint="eastAsia" w:ascii="宋体" w:hAnsi="宋体" w:cs="宋体"/>
                <w:color w:val="000000"/>
                <w:sz w:val="22"/>
                <w:szCs w:val="22"/>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restart"/>
            <w:noWrap w:val="0"/>
            <w:vAlign w:val="center"/>
          </w:tcPr>
          <w:p>
            <w:pPr>
              <w:jc w:val="center"/>
              <w:rPr>
                <w:rFonts w:hint="eastAsia" w:ascii="宋体" w:hAnsi="宋体" w:cs="宋体"/>
                <w:color w:val="000000"/>
                <w:sz w:val="22"/>
                <w:szCs w:val="22"/>
              </w:rPr>
            </w:pPr>
            <w:r>
              <w:rPr>
                <w:rFonts w:hint="eastAsia" w:ascii="宋体" w:hAnsi="宋体" w:cs="宋体"/>
                <w:color w:val="000000"/>
                <w:sz w:val="22"/>
                <w:szCs w:val="22"/>
                <w:lang w:bidi="ar"/>
              </w:rPr>
              <w:t>建设项目内部控制</w:t>
            </w:r>
          </w:p>
        </w:tc>
        <w:tc>
          <w:tcPr>
            <w:tcW w:w="1835" w:type="dxa"/>
            <w:gridSpan w:val="2"/>
            <w:noWrap w:val="0"/>
            <w:vAlign w:val="center"/>
          </w:tcPr>
          <w:p>
            <w:pPr>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建设项目内部控制建</w:t>
            </w:r>
            <w:r>
              <w:rPr>
                <w:rFonts w:hint="eastAsia" w:ascii="宋体" w:hAnsi="宋体" w:cs="宋体"/>
                <w:color w:val="000000"/>
                <w:sz w:val="22"/>
                <w:szCs w:val="22"/>
                <w:lang w:eastAsia="zh-CN" w:bidi="ar"/>
              </w:rPr>
              <w:t>立</w:t>
            </w:r>
            <w:r>
              <w:rPr>
                <w:rFonts w:hint="eastAsia" w:ascii="宋体" w:hAnsi="宋体" w:cs="宋体"/>
                <w:color w:val="000000"/>
                <w:sz w:val="22"/>
                <w:szCs w:val="22"/>
                <w:lang w:bidi="ar"/>
              </w:rPr>
              <w:t>情况</w:t>
            </w:r>
          </w:p>
          <w:p>
            <w:pPr>
              <w:textAlignment w:val="center"/>
              <w:rPr>
                <w:rFonts w:hint="eastAsia" w:ascii="宋体" w:hAnsi="宋体" w:cs="宋体"/>
                <w:color w:val="000000"/>
                <w:sz w:val="22"/>
                <w:szCs w:val="22"/>
              </w:rPr>
            </w:pPr>
          </w:p>
          <w:p>
            <w:pPr>
              <w:rPr>
                <w:rFonts w:hint="eastAsia" w:ascii="宋体" w:hAnsi="宋体" w:cs="宋体"/>
                <w:color w:val="000000"/>
                <w:sz w:val="22"/>
                <w:szCs w:val="22"/>
              </w:rPr>
            </w:pPr>
          </w:p>
        </w:tc>
        <w:tc>
          <w:tcPr>
            <w:tcW w:w="4304" w:type="dxa"/>
            <w:noWrap w:val="0"/>
            <w:vAlign w:val="center"/>
          </w:tcPr>
          <w:p>
            <w:pPr>
              <w:jc w:val="both"/>
              <w:textAlignment w:val="center"/>
              <w:rPr>
                <w:rFonts w:hint="eastAsia" w:ascii="宋体" w:hAnsi="宋体" w:cs="宋体"/>
                <w:color w:val="000000"/>
                <w:sz w:val="22"/>
                <w:szCs w:val="22"/>
              </w:rPr>
            </w:pPr>
            <w:r>
              <w:rPr>
                <w:rFonts w:hint="eastAsia" w:ascii="宋体" w:hAnsi="宋体" w:cs="宋体"/>
                <w:color w:val="000000"/>
                <w:sz w:val="22"/>
                <w:szCs w:val="22"/>
                <w:lang w:bidi="ar"/>
              </w:rPr>
              <w:t>单位是否依据法律法规、上级部门工作要求和内部管理实际需要，建立涵盖建设项目立项、决策、概预算编制、合同签署、工程变更、验收、价款支付、监理、决算、审计等全部经济活动和主要业务活动的建设项目内部控制制度。</w:t>
            </w:r>
          </w:p>
        </w:tc>
        <w:tc>
          <w:tcPr>
            <w:tcW w:w="796" w:type="dxa"/>
            <w:noWrap w:val="0"/>
            <w:vAlign w:val="center"/>
          </w:tcPr>
          <w:p>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4</w:t>
            </w:r>
          </w:p>
        </w:tc>
        <w:tc>
          <w:tcPr>
            <w:tcW w:w="5478" w:type="dxa"/>
            <w:noWrap w:val="0"/>
            <w:vAlign w:val="center"/>
          </w:tcPr>
          <w:p>
            <w:pPr>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已全面建立内部控制制度体系的，得满分；每发现一项应建立未建立相关制度的，扣1分，扣完为止。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continue"/>
            <w:noWrap w:val="0"/>
            <w:vAlign w:val="center"/>
          </w:tcPr>
          <w:p>
            <w:pPr>
              <w:jc w:val="center"/>
              <w:rPr>
                <w:rFonts w:hint="eastAsia" w:ascii="宋体" w:hAnsi="宋体" w:cs="宋体"/>
                <w:color w:val="000000"/>
                <w:sz w:val="22"/>
                <w:szCs w:val="22"/>
              </w:rPr>
            </w:pPr>
          </w:p>
        </w:tc>
        <w:tc>
          <w:tcPr>
            <w:tcW w:w="1835" w:type="dxa"/>
            <w:gridSpan w:val="2"/>
            <w:vMerge w:val="restart"/>
            <w:noWrap w:val="0"/>
            <w:vAlign w:val="center"/>
          </w:tcPr>
          <w:p>
            <w:pPr>
              <w:rPr>
                <w:rFonts w:hint="eastAsia" w:ascii="宋体" w:hAnsi="宋体" w:cs="宋体"/>
                <w:color w:val="000000"/>
                <w:sz w:val="22"/>
                <w:szCs w:val="22"/>
              </w:rPr>
            </w:pPr>
            <w:r>
              <w:rPr>
                <w:rFonts w:hint="eastAsia" w:ascii="宋体" w:hAnsi="宋体" w:cs="宋体"/>
                <w:color w:val="000000"/>
                <w:sz w:val="22"/>
                <w:szCs w:val="22"/>
                <w:lang w:bidi="ar"/>
              </w:rPr>
              <w:t>建设项目内部控制实施情况</w:t>
            </w:r>
          </w:p>
        </w:tc>
        <w:tc>
          <w:tcPr>
            <w:tcW w:w="4304" w:type="dxa"/>
            <w:noWrap w:val="0"/>
            <w:vAlign w:val="center"/>
          </w:tcPr>
          <w:p>
            <w:pPr>
              <w:jc w:val="both"/>
              <w:textAlignment w:val="center"/>
              <w:rPr>
                <w:rFonts w:hint="eastAsia" w:ascii="宋体" w:hAnsi="宋体" w:cs="宋体"/>
                <w:color w:val="000000"/>
                <w:sz w:val="22"/>
                <w:szCs w:val="22"/>
              </w:rPr>
            </w:pPr>
            <w:r>
              <w:rPr>
                <w:rFonts w:hint="eastAsia" w:ascii="宋体" w:hAnsi="宋体" w:cs="宋体"/>
                <w:color w:val="000000"/>
                <w:sz w:val="22"/>
                <w:szCs w:val="22"/>
                <w:lang w:bidi="ar"/>
              </w:rPr>
              <w:t>单位是否严格按照制度规定，开展建设项目可行性研究、项目决策、概预算编制与审核、项目合同签署及实施、价款支付、项目工程监理、竣工决算、竣工审计等经济业务活动。</w:t>
            </w:r>
          </w:p>
        </w:tc>
        <w:tc>
          <w:tcPr>
            <w:tcW w:w="796" w:type="dxa"/>
            <w:noWrap w:val="0"/>
            <w:vAlign w:val="center"/>
          </w:tcPr>
          <w:p>
            <w:pPr>
              <w:jc w:val="center"/>
              <w:rPr>
                <w:rFonts w:hint="eastAsia" w:ascii="宋体" w:hAnsi="宋体" w:cs="宋体"/>
                <w:color w:val="000000"/>
                <w:sz w:val="22"/>
                <w:szCs w:val="22"/>
              </w:rPr>
            </w:pPr>
            <w:r>
              <w:rPr>
                <w:rFonts w:hint="eastAsia" w:ascii="宋体" w:hAnsi="宋体" w:cs="宋体"/>
                <w:color w:val="000000"/>
                <w:sz w:val="22"/>
                <w:szCs w:val="22"/>
              </w:rPr>
              <w:t>4</w:t>
            </w:r>
          </w:p>
        </w:tc>
        <w:tc>
          <w:tcPr>
            <w:tcW w:w="5478" w:type="dxa"/>
            <w:noWrap w:val="0"/>
            <w:vAlign w:val="center"/>
          </w:tcPr>
          <w:p>
            <w:pPr>
              <w:rPr>
                <w:rFonts w:hint="eastAsia" w:ascii="宋体" w:hAnsi="宋体" w:cs="宋体"/>
                <w:color w:val="000000"/>
                <w:sz w:val="22"/>
                <w:szCs w:val="22"/>
              </w:rPr>
            </w:pPr>
            <w:r>
              <w:rPr>
                <w:rFonts w:hint="eastAsia" w:ascii="宋体" w:hAnsi="宋体" w:cs="宋体"/>
                <w:color w:val="000000"/>
                <w:sz w:val="22"/>
                <w:szCs w:val="22"/>
                <w:lang w:bidi="ar"/>
              </w:rPr>
              <w:t>每发现一项未按制度执行的，扣1分，扣完为止。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continue"/>
            <w:noWrap w:val="0"/>
            <w:vAlign w:val="center"/>
          </w:tcPr>
          <w:p>
            <w:pPr>
              <w:jc w:val="center"/>
              <w:rPr>
                <w:rFonts w:hint="eastAsia" w:ascii="宋体" w:hAnsi="宋体" w:cs="宋体"/>
                <w:color w:val="000000"/>
                <w:sz w:val="22"/>
                <w:szCs w:val="22"/>
              </w:rPr>
            </w:pPr>
          </w:p>
        </w:tc>
        <w:tc>
          <w:tcPr>
            <w:tcW w:w="1835" w:type="dxa"/>
            <w:gridSpan w:val="2"/>
            <w:vMerge w:val="continue"/>
            <w:noWrap w:val="0"/>
            <w:vAlign w:val="center"/>
          </w:tcPr>
          <w:p>
            <w:pPr>
              <w:rPr>
                <w:rFonts w:hint="eastAsia" w:ascii="宋体" w:hAnsi="宋体" w:cs="宋体"/>
                <w:color w:val="000000"/>
                <w:lang w:bidi="ar"/>
              </w:rPr>
            </w:pPr>
          </w:p>
        </w:tc>
        <w:tc>
          <w:tcPr>
            <w:tcW w:w="4304" w:type="dxa"/>
            <w:noWrap w:val="0"/>
            <w:vAlign w:val="center"/>
          </w:tcPr>
          <w:p>
            <w:pPr>
              <w:jc w:val="both"/>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项目建议书、可行性研究报告、概预算、竣工决算报告等是否经相关工作人员或根据国家有关规定委托具有相应资质的中介机构进行审核，出具评审意见。</w:t>
            </w:r>
          </w:p>
        </w:tc>
        <w:tc>
          <w:tcPr>
            <w:tcW w:w="796" w:type="dxa"/>
            <w:noWrap w:val="0"/>
            <w:vAlign w:val="center"/>
          </w:tcPr>
          <w:p>
            <w:pPr>
              <w:jc w:val="center"/>
              <w:rPr>
                <w:rFonts w:ascii="宋体" w:hAnsi="宋体" w:cs="宋体"/>
                <w:color w:val="000000"/>
                <w:sz w:val="22"/>
                <w:szCs w:val="22"/>
              </w:rPr>
            </w:pPr>
            <w:r>
              <w:rPr>
                <w:rFonts w:hint="eastAsia" w:ascii="宋体" w:hAnsi="宋体" w:cs="宋体"/>
                <w:color w:val="000000"/>
                <w:sz w:val="22"/>
                <w:szCs w:val="22"/>
              </w:rPr>
              <w:t>1</w:t>
            </w:r>
          </w:p>
        </w:tc>
        <w:tc>
          <w:tcPr>
            <w:tcW w:w="5478" w:type="dxa"/>
            <w:noWrap w:val="0"/>
            <w:vAlign w:val="center"/>
          </w:tcPr>
          <w:p>
            <w:pPr>
              <w:rPr>
                <w:rFonts w:hint="eastAsia" w:ascii="宋体" w:hAnsi="宋体" w:cs="宋体"/>
                <w:color w:val="000000"/>
                <w:sz w:val="22"/>
                <w:szCs w:val="22"/>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continue"/>
            <w:noWrap w:val="0"/>
            <w:vAlign w:val="center"/>
          </w:tcPr>
          <w:p>
            <w:pPr>
              <w:jc w:val="center"/>
              <w:rPr>
                <w:rFonts w:hint="eastAsia" w:ascii="宋体" w:hAnsi="宋体" w:cs="宋体"/>
                <w:color w:val="000000"/>
                <w:sz w:val="22"/>
                <w:szCs w:val="22"/>
              </w:rPr>
            </w:pPr>
          </w:p>
        </w:tc>
        <w:tc>
          <w:tcPr>
            <w:tcW w:w="1835" w:type="dxa"/>
            <w:gridSpan w:val="2"/>
            <w:vMerge w:val="continue"/>
            <w:noWrap w:val="0"/>
            <w:vAlign w:val="center"/>
          </w:tcPr>
          <w:p>
            <w:pPr>
              <w:rPr>
                <w:rFonts w:hint="eastAsia" w:ascii="宋体" w:hAnsi="宋体" w:cs="宋体"/>
                <w:color w:val="000000"/>
                <w:lang w:bidi="ar"/>
              </w:rPr>
            </w:pPr>
          </w:p>
        </w:tc>
        <w:tc>
          <w:tcPr>
            <w:tcW w:w="4304" w:type="dxa"/>
            <w:noWrap w:val="0"/>
            <w:vAlign w:val="center"/>
          </w:tcPr>
          <w:p>
            <w:pPr>
              <w:jc w:val="both"/>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单位是否按照制度规定开展工程变更审批程序。</w:t>
            </w:r>
          </w:p>
        </w:tc>
        <w:tc>
          <w:tcPr>
            <w:tcW w:w="796" w:type="dxa"/>
            <w:noWrap w:val="0"/>
            <w:vAlign w:val="center"/>
          </w:tcPr>
          <w:p>
            <w:pPr>
              <w:jc w:val="center"/>
              <w:rPr>
                <w:rFonts w:ascii="宋体" w:hAnsi="宋体" w:cs="宋体"/>
                <w:color w:val="000000"/>
                <w:sz w:val="22"/>
                <w:szCs w:val="22"/>
              </w:rPr>
            </w:pPr>
            <w:r>
              <w:rPr>
                <w:rFonts w:hint="eastAsia" w:ascii="宋体" w:hAnsi="宋体" w:cs="宋体"/>
                <w:color w:val="000000"/>
                <w:sz w:val="22"/>
                <w:szCs w:val="22"/>
              </w:rPr>
              <w:t>1</w:t>
            </w:r>
          </w:p>
        </w:tc>
        <w:tc>
          <w:tcPr>
            <w:tcW w:w="5478" w:type="dxa"/>
            <w:noWrap w:val="0"/>
            <w:vAlign w:val="center"/>
          </w:tcPr>
          <w:p>
            <w:pPr>
              <w:rPr>
                <w:rFonts w:hint="eastAsia" w:ascii="宋体" w:hAnsi="宋体" w:cs="宋体"/>
                <w:color w:val="000000"/>
                <w:sz w:val="22"/>
                <w:szCs w:val="22"/>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continue"/>
            <w:noWrap w:val="0"/>
            <w:vAlign w:val="center"/>
          </w:tcPr>
          <w:p>
            <w:pPr>
              <w:jc w:val="center"/>
              <w:rPr>
                <w:rFonts w:hint="eastAsia" w:ascii="宋体" w:hAnsi="宋体" w:cs="宋体"/>
                <w:color w:val="000000"/>
                <w:sz w:val="22"/>
                <w:szCs w:val="22"/>
              </w:rPr>
            </w:pPr>
          </w:p>
        </w:tc>
        <w:tc>
          <w:tcPr>
            <w:tcW w:w="1835" w:type="dxa"/>
            <w:gridSpan w:val="2"/>
            <w:vMerge w:val="continue"/>
            <w:noWrap w:val="0"/>
            <w:vAlign w:val="center"/>
          </w:tcPr>
          <w:p>
            <w:pPr>
              <w:rPr>
                <w:rFonts w:hint="eastAsia" w:ascii="宋体" w:hAnsi="宋体" w:cs="宋体"/>
                <w:color w:val="000000"/>
                <w:lang w:bidi="ar"/>
              </w:rPr>
            </w:pPr>
          </w:p>
        </w:tc>
        <w:tc>
          <w:tcPr>
            <w:tcW w:w="4304" w:type="dxa"/>
            <w:noWrap w:val="0"/>
            <w:vAlign w:val="center"/>
          </w:tcPr>
          <w:p>
            <w:pPr>
              <w:jc w:val="both"/>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单位是否按照制度规定执行修缮项目决策、招标、项目实施、资金支付、验收及移交等程序。</w:t>
            </w:r>
          </w:p>
        </w:tc>
        <w:tc>
          <w:tcPr>
            <w:tcW w:w="796" w:type="dxa"/>
            <w:noWrap w:val="0"/>
            <w:vAlign w:val="center"/>
          </w:tcPr>
          <w:p>
            <w:pPr>
              <w:jc w:val="center"/>
              <w:rPr>
                <w:rFonts w:ascii="宋体" w:hAnsi="宋体" w:cs="宋体"/>
                <w:color w:val="000000"/>
                <w:sz w:val="22"/>
                <w:szCs w:val="22"/>
              </w:rPr>
            </w:pPr>
            <w:r>
              <w:rPr>
                <w:rFonts w:hint="eastAsia" w:ascii="宋体" w:hAnsi="宋体" w:cs="宋体"/>
                <w:color w:val="000000"/>
                <w:sz w:val="22"/>
                <w:szCs w:val="22"/>
              </w:rPr>
              <w:t>2</w:t>
            </w:r>
          </w:p>
        </w:tc>
        <w:tc>
          <w:tcPr>
            <w:tcW w:w="5478" w:type="dxa"/>
            <w:noWrap w:val="0"/>
            <w:vAlign w:val="center"/>
          </w:tcPr>
          <w:p>
            <w:pPr>
              <w:rPr>
                <w:rFonts w:hint="eastAsia" w:ascii="宋体" w:hAnsi="宋体" w:cs="宋体"/>
                <w:color w:val="000000"/>
                <w:sz w:val="22"/>
                <w:szCs w:val="22"/>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950" w:type="dxa"/>
            <w:vMerge w:val="continue"/>
            <w:noWrap w:val="0"/>
            <w:vAlign w:val="top"/>
          </w:tcPr>
          <w:p>
            <w:pPr>
              <w:jc w:val="center"/>
              <w:rPr>
                <w:rFonts w:hint="eastAsia" w:ascii="宋体" w:hAnsi="宋体" w:cs="宋体"/>
                <w:color w:val="000000"/>
                <w:sz w:val="22"/>
                <w:szCs w:val="22"/>
              </w:rPr>
            </w:pPr>
          </w:p>
        </w:tc>
        <w:tc>
          <w:tcPr>
            <w:tcW w:w="1304" w:type="dxa"/>
            <w:vMerge w:val="restart"/>
            <w:noWrap w:val="0"/>
            <w:vAlign w:val="center"/>
          </w:tcPr>
          <w:p>
            <w:pPr>
              <w:jc w:val="center"/>
              <w:rPr>
                <w:rFonts w:hint="eastAsia" w:ascii="宋体" w:hAnsi="宋体" w:cs="宋体"/>
                <w:color w:val="000000"/>
                <w:sz w:val="22"/>
                <w:szCs w:val="22"/>
              </w:rPr>
            </w:pPr>
            <w:r>
              <w:rPr>
                <w:rFonts w:hint="eastAsia" w:ascii="宋体" w:hAnsi="宋体" w:cs="宋体"/>
                <w:color w:val="000000"/>
                <w:sz w:val="22"/>
                <w:szCs w:val="22"/>
                <w:lang w:bidi="ar"/>
              </w:rPr>
              <w:t>合同管理内部控制</w:t>
            </w:r>
          </w:p>
        </w:tc>
        <w:tc>
          <w:tcPr>
            <w:tcW w:w="1835" w:type="dxa"/>
            <w:gridSpan w:val="2"/>
            <w:noWrap w:val="0"/>
            <w:vAlign w:val="center"/>
          </w:tcPr>
          <w:p>
            <w:pPr>
              <w:textAlignment w:val="center"/>
              <w:rPr>
                <w:rFonts w:hint="eastAsia" w:ascii="宋体" w:hAnsi="宋体" w:cs="宋体"/>
                <w:color w:val="000000"/>
                <w:sz w:val="22"/>
                <w:szCs w:val="22"/>
                <w:lang w:bidi="ar"/>
              </w:rPr>
            </w:pPr>
          </w:p>
          <w:p>
            <w:pPr>
              <w:textAlignment w:val="center"/>
              <w:rPr>
                <w:rFonts w:hint="eastAsia" w:ascii="宋体" w:hAnsi="宋体" w:cs="宋体"/>
                <w:color w:val="000000"/>
                <w:sz w:val="22"/>
                <w:szCs w:val="22"/>
              </w:rPr>
            </w:pPr>
          </w:p>
          <w:p>
            <w:pPr>
              <w:rPr>
                <w:rFonts w:hint="eastAsia" w:ascii="宋体" w:hAnsi="宋体" w:cs="宋体"/>
                <w:color w:val="000000"/>
                <w:sz w:val="22"/>
                <w:szCs w:val="22"/>
              </w:rPr>
            </w:pPr>
            <w:r>
              <w:rPr>
                <w:rFonts w:hint="eastAsia" w:ascii="宋体" w:hAnsi="宋体" w:cs="宋体"/>
                <w:color w:val="000000"/>
                <w:sz w:val="22"/>
                <w:szCs w:val="22"/>
              </w:rPr>
              <w:t>合同管理</w:t>
            </w:r>
            <w:r>
              <w:rPr>
                <w:rFonts w:hint="eastAsia" w:ascii="宋体" w:hAnsi="宋体" w:cs="宋体"/>
                <w:color w:val="000000"/>
                <w:sz w:val="22"/>
                <w:szCs w:val="22"/>
                <w:lang w:bidi="ar"/>
              </w:rPr>
              <w:t>内部</w:t>
            </w:r>
            <w:r>
              <w:rPr>
                <w:rFonts w:hint="eastAsia" w:ascii="宋体" w:hAnsi="宋体" w:cs="宋体"/>
                <w:color w:val="000000"/>
                <w:sz w:val="22"/>
                <w:szCs w:val="22"/>
              </w:rPr>
              <w:t>控制建</w:t>
            </w:r>
            <w:r>
              <w:rPr>
                <w:rFonts w:hint="eastAsia" w:ascii="宋体" w:hAnsi="宋体" w:cs="宋体"/>
                <w:color w:val="000000"/>
                <w:sz w:val="22"/>
                <w:szCs w:val="22"/>
                <w:lang w:eastAsia="zh-CN" w:bidi="ar"/>
              </w:rPr>
              <w:t>立</w:t>
            </w:r>
            <w:r>
              <w:rPr>
                <w:rFonts w:hint="eastAsia" w:ascii="宋体" w:hAnsi="宋体" w:cs="宋体"/>
                <w:color w:val="000000"/>
                <w:sz w:val="22"/>
                <w:szCs w:val="22"/>
              </w:rPr>
              <w:t>情况</w:t>
            </w:r>
          </w:p>
        </w:tc>
        <w:tc>
          <w:tcPr>
            <w:tcW w:w="4304" w:type="dxa"/>
            <w:noWrap w:val="0"/>
            <w:vAlign w:val="center"/>
          </w:tcPr>
          <w:p>
            <w:pPr>
              <w:jc w:val="both"/>
              <w:textAlignment w:val="center"/>
              <w:rPr>
                <w:rFonts w:hint="eastAsia" w:ascii="宋体" w:hAnsi="宋体" w:cs="宋体"/>
                <w:color w:val="000000"/>
                <w:sz w:val="22"/>
                <w:szCs w:val="22"/>
              </w:rPr>
            </w:pPr>
            <w:r>
              <w:rPr>
                <w:rFonts w:hint="eastAsia" w:ascii="宋体" w:hAnsi="宋体" w:cs="宋体"/>
                <w:color w:val="000000"/>
                <w:sz w:val="22"/>
                <w:szCs w:val="22"/>
                <w:lang w:bidi="ar"/>
              </w:rPr>
              <w:t>单位是否依据法律法规、上级部门工作要求和内部管理实际需要，建立涵盖合同订立、合同登记、履行监督审查、执行、合同纠纷处理、印章等环节的全部经济活动和主要业务活动的合同管理内部控制制度。</w:t>
            </w:r>
          </w:p>
        </w:tc>
        <w:tc>
          <w:tcPr>
            <w:tcW w:w="796" w:type="dxa"/>
            <w:noWrap w:val="0"/>
            <w:vAlign w:val="center"/>
          </w:tcPr>
          <w:p>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4</w:t>
            </w:r>
          </w:p>
        </w:tc>
        <w:tc>
          <w:tcPr>
            <w:tcW w:w="5478" w:type="dxa"/>
            <w:noWrap w:val="0"/>
            <w:vAlign w:val="center"/>
          </w:tcPr>
          <w:p>
            <w:pPr>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已全面建立内部控制制度体系的，得满分；每发现一项应建立未建立相关制度的，扣1分，扣完为止。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950" w:type="dxa"/>
            <w:vMerge w:val="continue"/>
            <w:noWrap w:val="0"/>
            <w:vAlign w:val="top"/>
          </w:tcPr>
          <w:p>
            <w:pPr>
              <w:jc w:val="center"/>
              <w:rPr>
                <w:rFonts w:hint="eastAsia" w:ascii="宋体" w:hAnsi="宋体" w:cs="宋体"/>
                <w:color w:val="000000"/>
                <w:sz w:val="22"/>
                <w:szCs w:val="22"/>
              </w:rPr>
            </w:pPr>
          </w:p>
        </w:tc>
        <w:tc>
          <w:tcPr>
            <w:tcW w:w="1304" w:type="dxa"/>
            <w:vMerge w:val="continue"/>
            <w:noWrap w:val="0"/>
            <w:vAlign w:val="top"/>
          </w:tcPr>
          <w:p>
            <w:pPr>
              <w:jc w:val="center"/>
              <w:rPr>
                <w:rFonts w:hint="eastAsia" w:ascii="宋体" w:hAnsi="宋体" w:cs="宋体"/>
                <w:color w:val="000000"/>
                <w:sz w:val="22"/>
                <w:szCs w:val="22"/>
              </w:rPr>
            </w:pPr>
          </w:p>
        </w:tc>
        <w:tc>
          <w:tcPr>
            <w:tcW w:w="1835" w:type="dxa"/>
            <w:gridSpan w:val="2"/>
            <w:vMerge w:val="restart"/>
            <w:noWrap w:val="0"/>
            <w:vAlign w:val="center"/>
          </w:tcPr>
          <w:p>
            <w:pPr>
              <w:textAlignment w:val="center"/>
              <w:rPr>
                <w:rFonts w:hint="eastAsia" w:ascii="宋体" w:hAnsi="宋体" w:cs="宋体"/>
                <w:color w:val="000000"/>
                <w:sz w:val="22"/>
                <w:szCs w:val="22"/>
              </w:rPr>
            </w:pPr>
            <w:r>
              <w:rPr>
                <w:rFonts w:hint="eastAsia" w:ascii="宋体" w:hAnsi="宋体" w:cs="宋体"/>
                <w:color w:val="000000"/>
                <w:sz w:val="22"/>
                <w:szCs w:val="22"/>
                <w:lang w:bidi="ar"/>
              </w:rPr>
              <w:t>合同管理内部控制实施情况</w:t>
            </w:r>
          </w:p>
        </w:tc>
        <w:tc>
          <w:tcPr>
            <w:tcW w:w="4304" w:type="dxa"/>
            <w:noWrap w:val="0"/>
            <w:vAlign w:val="center"/>
          </w:tcPr>
          <w:p>
            <w:pPr>
              <w:jc w:val="both"/>
              <w:textAlignment w:val="center"/>
              <w:rPr>
                <w:rFonts w:hint="eastAsia" w:ascii="宋体" w:hAnsi="宋体" w:cs="宋体"/>
                <w:color w:val="000000"/>
                <w:sz w:val="22"/>
                <w:szCs w:val="22"/>
              </w:rPr>
            </w:pPr>
            <w:r>
              <w:rPr>
                <w:rFonts w:hint="eastAsia" w:ascii="宋体" w:hAnsi="宋体" w:cs="宋体"/>
                <w:color w:val="000000"/>
                <w:sz w:val="22"/>
                <w:szCs w:val="22"/>
                <w:lang w:bidi="ar"/>
              </w:rPr>
              <w:t>单位是否按照制度规定，开展合同订立、登记、合同履行监督审查、纠纷处理、价款结算和账务处理。</w:t>
            </w:r>
          </w:p>
        </w:tc>
        <w:tc>
          <w:tcPr>
            <w:tcW w:w="796" w:type="dxa"/>
            <w:noWrap w:val="0"/>
            <w:vAlign w:val="center"/>
          </w:tcPr>
          <w:p>
            <w:pPr>
              <w:jc w:val="center"/>
              <w:rPr>
                <w:rFonts w:ascii="宋体" w:hAnsi="宋体" w:cs="宋体"/>
                <w:color w:val="000000"/>
                <w:sz w:val="22"/>
                <w:szCs w:val="22"/>
              </w:rPr>
            </w:pPr>
            <w:r>
              <w:rPr>
                <w:rFonts w:hint="eastAsia" w:ascii="宋体" w:hAnsi="宋体" w:cs="宋体"/>
                <w:color w:val="000000"/>
                <w:sz w:val="22"/>
                <w:szCs w:val="22"/>
              </w:rPr>
              <w:t>3</w:t>
            </w:r>
          </w:p>
        </w:tc>
        <w:tc>
          <w:tcPr>
            <w:tcW w:w="5478" w:type="dxa"/>
            <w:noWrap w:val="0"/>
            <w:vAlign w:val="center"/>
          </w:tcPr>
          <w:p>
            <w:pPr>
              <w:rPr>
                <w:rFonts w:hint="eastAsia" w:ascii="宋体" w:hAnsi="宋体" w:cs="宋体"/>
                <w:color w:val="000000"/>
                <w:sz w:val="22"/>
                <w:szCs w:val="22"/>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continue"/>
            <w:noWrap w:val="0"/>
            <w:vAlign w:val="center"/>
          </w:tcPr>
          <w:p>
            <w:pPr>
              <w:jc w:val="center"/>
              <w:rPr>
                <w:rFonts w:hint="eastAsia" w:ascii="宋体" w:hAnsi="宋体" w:cs="宋体"/>
                <w:color w:val="000000"/>
                <w:sz w:val="22"/>
                <w:szCs w:val="22"/>
              </w:rPr>
            </w:pPr>
          </w:p>
        </w:tc>
        <w:tc>
          <w:tcPr>
            <w:tcW w:w="1835" w:type="dxa"/>
            <w:gridSpan w:val="2"/>
            <w:vMerge w:val="continue"/>
            <w:noWrap w:val="0"/>
            <w:vAlign w:val="center"/>
          </w:tcPr>
          <w:p>
            <w:pPr>
              <w:rPr>
                <w:rFonts w:hint="eastAsia" w:ascii="宋体" w:hAnsi="宋体" w:cs="宋体"/>
                <w:color w:val="000000"/>
                <w:sz w:val="22"/>
                <w:szCs w:val="22"/>
                <w:lang w:bidi="ar"/>
              </w:rPr>
            </w:pPr>
          </w:p>
        </w:tc>
        <w:tc>
          <w:tcPr>
            <w:tcW w:w="4304" w:type="dxa"/>
            <w:noWrap w:val="0"/>
            <w:vAlign w:val="center"/>
          </w:tcPr>
          <w:p>
            <w:pPr>
              <w:jc w:val="both"/>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单位是否规范管理并使用印章（公章、合同章、财务章、人名章等）。</w:t>
            </w:r>
          </w:p>
        </w:tc>
        <w:tc>
          <w:tcPr>
            <w:tcW w:w="796" w:type="dxa"/>
            <w:noWrap w:val="0"/>
            <w:vAlign w:val="center"/>
          </w:tcPr>
          <w:p>
            <w:pPr>
              <w:jc w:val="center"/>
              <w:rPr>
                <w:rFonts w:ascii="宋体" w:hAnsi="宋体" w:cs="宋体"/>
                <w:color w:val="000000"/>
                <w:sz w:val="22"/>
                <w:szCs w:val="22"/>
              </w:rPr>
            </w:pPr>
            <w:r>
              <w:rPr>
                <w:rFonts w:hint="eastAsia" w:ascii="宋体" w:hAnsi="宋体" w:cs="宋体"/>
                <w:color w:val="000000"/>
                <w:sz w:val="22"/>
                <w:szCs w:val="22"/>
              </w:rPr>
              <w:t>1</w:t>
            </w:r>
          </w:p>
        </w:tc>
        <w:tc>
          <w:tcPr>
            <w:tcW w:w="5478" w:type="dxa"/>
            <w:noWrap w:val="0"/>
            <w:vAlign w:val="center"/>
          </w:tcPr>
          <w:p>
            <w:pPr>
              <w:rPr>
                <w:rFonts w:hint="eastAsia" w:ascii="宋体" w:hAnsi="宋体" w:cs="宋体"/>
                <w:color w:val="000000"/>
                <w:sz w:val="22"/>
                <w:szCs w:val="22"/>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restart"/>
            <w:noWrap w:val="0"/>
            <w:vAlign w:val="center"/>
          </w:tcPr>
          <w:p>
            <w:pPr>
              <w:jc w:val="center"/>
              <w:rPr>
                <w:rFonts w:hint="eastAsia" w:ascii="宋体" w:hAnsi="宋体" w:cs="宋体"/>
                <w:color w:val="000000"/>
                <w:sz w:val="22"/>
                <w:szCs w:val="22"/>
              </w:rPr>
            </w:pPr>
            <w:r>
              <w:rPr>
                <w:rFonts w:hint="eastAsia" w:ascii="宋体" w:hAnsi="宋体" w:cs="宋体"/>
                <w:color w:val="000000"/>
                <w:sz w:val="22"/>
                <w:szCs w:val="22"/>
                <w:lang w:bidi="ar"/>
              </w:rPr>
              <w:t>其他业务内部控制</w:t>
            </w:r>
          </w:p>
        </w:tc>
        <w:tc>
          <w:tcPr>
            <w:tcW w:w="1835" w:type="dxa"/>
            <w:gridSpan w:val="2"/>
            <w:noWrap w:val="0"/>
            <w:vAlign w:val="center"/>
          </w:tcPr>
          <w:p>
            <w:pPr>
              <w:rPr>
                <w:rFonts w:hint="eastAsia" w:ascii="宋体" w:hAnsi="宋体" w:cs="宋体"/>
                <w:color w:val="000000"/>
                <w:sz w:val="22"/>
                <w:szCs w:val="22"/>
              </w:rPr>
            </w:pPr>
            <w:r>
              <w:rPr>
                <w:rFonts w:hint="eastAsia" w:ascii="宋体" w:hAnsi="宋体" w:cs="宋体"/>
                <w:color w:val="000000"/>
                <w:sz w:val="22"/>
                <w:szCs w:val="22"/>
                <w:lang w:bidi="ar"/>
              </w:rPr>
              <w:t>其他业务内部控制建</w:t>
            </w:r>
            <w:r>
              <w:rPr>
                <w:rFonts w:hint="eastAsia" w:ascii="宋体" w:hAnsi="宋体" w:cs="宋体"/>
                <w:color w:val="000000"/>
                <w:sz w:val="22"/>
                <w:szCs w:val="22"/>
                <w:lang w:eastAsia="zh-CN" w:bidi="ar"/>
              </w:rPr>
              <w:t>立</w:t>
            </w:r>
            <w:r>
              <w:rPr>
                <w:rFonts w:hint="eastAsia" w:ascii="宋体" w:hAnsi="宋体" w:cs="宋体"/>
                <w:color w:val="000000"/>
                <w:sz w:val="22"/>
                <w:szCs w:val="22"/>
                <w:lang w:bidi="ar"/>
              </w:rPr>
              <w:t>情况（参考）</w:t>
            </w:r>
          </w:p>
        </w:tc>
        <w:tc>
          <w:tcPr>
            <w:tcW w:w="4304" w:type="dxa"/>
            <w:noWrap w:val="0"/>
            <w:vAlign w:val="center"/>
          </w:tcPr>
          <w:p>
            <w:pPr>
              <w:jc w:val="both"/>
              <w:textAlignment w:val="center"/>
              <w:rPr>
                <w:rFonts w:hint="eastAsia" w:ascii="宋体" w:hAnsi="宋体" w:cs="宋体"/>
                <w:color w:val="000000"/>
                <w:sz w:val="22"/>
                <w:szCs w:val="22"/>
              </w:rPr>
            </w:pPr>
            <w:r>
              <w:rPr>
                <w:rFonts w:hint="eastAsia" w:ascii="宋体" w:hAnsi="宋体" w:cs="宋体"/>
                <w:color w:val="000000"/>
                <w:sz w:val="22"/>
                <w:szCs w:val="22"/>
                <w:lang w:bidi="ar"/>
              </w:rPr>
              <w:t>单位是否依据法律法规、上级部门工作要求和内部管理实际需要，建立涵盖全部经济活动和主要业务活动的内部控制制度。</w:t>
            </w:r>
          </w:p>
        </w:tc>
        <w:tc>
          <w:tcPr>
            <w:tcW w:w="796" w:type="dxa"/>
            <w:noWrap w:val="0"/>
            <w:vAlign w:val="center"/>
          </w:tcPr>
          <w:p>
            <w:pPr>
              <w:jc w:val="center"/>
              <w:rPr>
                <w:rFonts w:hint="eastAsia" w:ascii="宋体" w:hAnsi="宋体" w:cs="宋体"/>
                <w:color w:val="000000"/>
                <w:sz w:val="22"/>
                <w:szCs w:val="22"/>
              </w:rPr>
            </w:pPr>
            <w:r>
              <w:rPr>
                <w:rFonts w:hint="eastAsia" w:ascii="宋体" w:hAnsi="宋体" w:cs="宋体"/>
                <w:color w:val="000000"/>
                <w:sz w:val="22"/>
                <w:szCs w:val="22"/>
                <w:lang w:bidi="ar"/>
              </w:rPr>
              <w:t>4</w:t>
            </w:r>
          </w:p>
        </w:tc>
        <w:tc>
          <w:tcPr>
            <w:tcW w:w="5478" w:type="dxa"/>
            <w:noWrap w:val="0"/>
            <w:vAlign w:val="center"/>
          </w:tcPr>
          <w:p>
            <w:pPr>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已全面建立内部控制制度体系的，得满分；每发现一项应建立未建立相关制度的，扣1分，扣完为止。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continue"/>
            <w:noWrap w:val="0"/>
            <w:vAlign w:val="center"/>
          </w:tcPr>
          <w:p>
            <w:pPr>
              <w:jc w:val="center"/>
              <w:rPr>
                <w:rFonts w:hint="eastAsia" w:ascii="宋体" w:hAnsi="宋体" w:cs="宋体"/>
                <w:color w:val="000000"/>
                <w:sz w:val="22"/>
                <w:szCs w:val="22"/>
              </w:rPr>
            </w:pPr>
          </w:p>
        </w:tc>
        <w:tc>
          <w:tcPr>
            <w:tcW w:w="1835" w:type="dxa"/>
            <w:gridSpan w:val="2"/>
            <w:vMerge w:val="restart"/>
            <w:noWrap w:val="0"/>
            <w:vAlign w:val="center"/>
          </w:tcPr>
          <w:p>
            <w:pPr>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其他业务内部控制实施情况（参考）</w:t>
            </w:r>
          </w:p>
        </w:tc>
        <w:tc>
          <w:tcPr>
            <w:tcW w:w="4304" w:type="dxa"/>
            <w:noWrap w:val="0"/>
            <w:vAlign w:val="center"/>
          </w:tcPr>
          <w:p>
            <w:pPr>
              <w:jc w:val="both"/>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业务活动发起、审批、实施、监督等环节设置是否合理。</w:t>
            </w:r>
          </w:p>
        </w:tc>
        <w:tc>
          <w:tcPr>
            <w:tcW w:w="796" w:type="dxa"/>
            <w:vMerge w:val="restart"/>
            <w:noWrap w:val="0"/>
            <w:vAlign w:val="center"/>
          </w:tcPr>
          <w:p>
            <w:pPr>
              <w:jc w:val="center"/>
              <w:rPr>
                <w:rFonts w:ascii="宋体" w:hAnsi="宋体" w:cs="宋体"/>
                <w:color w:val="000000"/>
                <w:sz w:val="22"/>
                <w:szCs w:val="22"/>
              </w:rPr>
            </w:pPr>
            <w:r>
              <w:rPr>
                <w:rFonts w:hint="eastAsia" w:ascii="宋体" w:hAnsi="宋体" w:cs="宋体"/>
                <w:color w:val="000000"/>
                <w:sz w:val="22"/>
                <w:szCs w:val="22"/>
              </w:rPr>
              <w:t>8</w:t>
            </w:r>
          </w:p>
        </w:tc>
        <w:tc>
          <w:tcPr>
            <w:tcW w:w="5478" w:type="dxa"/>
            <w:noWrap w:val="0"/>
            <w:vAlign w:val="center"/>
          </w:tcPr>
          <w:p>
            <w:pPr>
              <w:rPr>
                <w:rFonts w:hint="eastAsia" w:ascii="宋体" w:hAnsi="宋体" w:cs="宋体"/>
                <w:color w:val="000000"/>
                <w:sz w:val="22"/>
                <w:szCs w:val="22"/>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continue"/>
            <w:noWrap w:val="0"/>
            <w:vAlign w:val="center"/>
          </w:tcPr>
          <w:p>
            <w:pPr>
              <w:jc w:val="center"/>
              <w:rPr>
                <w:rFonts w:hint="eastAsia" w:ascii="宋体" w:hAnsi="宋体" w:cs="宋体"/>
                <w:color w:val="000000"/>
                <w:sz w:val="22"/>
                <w:szCs w:val="22"/>
              </w:rPr>
            </w:pPr>
          </w:p>
        </w:tc>
        <w:tc>
          <w:tcPr>
            <w:tcW w:w="1835" w:type="dxa"/>
            <w:gridSpan w:val="2"/>
            <w:vMerge w:val="continue"/>
            <w:noWrap w:val="0"/>
            <w:vAlign w:val="center"/>
          </w:tcPr>
          <w:p>
            <w:pPr>
              <w:textAlignment w:val="center"/>
              <w:rPr>
                <w:rFonts w:hint="eastAsia" w:ascii="宋体" w:hAnsi="宋体" w:cs="宋体"/>
                <w:color w:val="000000"/>
                <w:sz w:val="22"/>
                <w:szCs w:val="22"/>
                <w:lang w:bidi="ar"/>
              </w:rPr>
            </w:pPr>
          </w:p>
        </w:tc>
        <w:tc>
          <w:tcPr>
            <w:tcW w:w="4304" w:type="dxa"/>
            <w:noWrap w:val="0"/>
            <w:vAlign w:val="center"/>
          </w:tcPr>
          <w:p>
            <w:pPr>
              <w:jc w:val="both"/>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业务活动涉及的相关标准设置是否合理。</w:t>
            </w:r>
          </w:p>
        </w:tc>
        <w:tc>
          <w:tcPr>
            <w:tcW w:w="796" w:type="dxa"/>
            <w:vMerge w:val="continue"/>
            <w:noWrap w:val="0"/>
            <w:vAlign w:val="center"/>
          </w:tcPr>
          <w:p>
            <w:pPr>
              <w:jc w:val="center"/>
              <w:rPr>
                <w:rFonts w:ascii="宋体" w:hAnsi="宋体" w:cs="宋体"/>
                <w:color w:val="000000"/>
                <w:sz w:val="22"/>
                <w:szCs w:val="22"/>
              </w:rPr>
            </w:pPr>
          </w:p>
        </w:tc>
        <w:tc>
          <w:tcPr>
            <w:tcW w:w="5478" w:type="dxa"/>
            <w:noWrap w:val="0"/>
            <w:vAlign w:val="center"/>
          </w:tcPr>
          <w:p>
            <w:pPr>
              <w:rPr>
                <w:rFonts w:hint="eastAsia" w:ascii="宋体" w:hAnsi="宋体" w:cs="宋体"/>
                <w:color w:val="000000"/>
                <w:sz w:val="22"/>
                <w:szCs w:val="22"/>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continue"/>
            <w:noWrap w:val="0"/>
            <w:vAlign w:val="center"/>
          </w:tcPr>
          <w:p>
            <w:pPr>
              <w:jc w:val="center"/>
              <w:rPr>
                <w:rFonts w:hint="eastAsia" w:ascii="宋体" w:hAnsi="宋体" w:cs="宋体"/>
                <w:color w:val="000000"/>
                <w:sz w:val="22"/>
                <w:szCs w:val="22"/>
              </w:rPr>
            </w:pPr>
          </w:p>
        </w:tc>
        <w:tc>
          <w:tcPr>
            <w:tcW w:w="1835" w:type="dxa"/>
            <w:gridSpan w:val="2"/>
            <w:vMerge w:val="continue"/>
            <w:noWrap w:val="0"/>
            <w:vAlign w:val="center"/>
          </w:tcPr>
          <w:p>
            <w:pPr>
              <w:textAlignment w:val="center"/>
              <w:rPr>
                <w:rFonts w:hint="eastAsia" w:ascii="宋体" w:hAnsi="宋体" w:cs="宋体"/>
                <w:color w:val="000000"/>
                <w:sz w:val="22"/>
                <w:szCs w:val="22"/>
                <w:lang w:bidi="ar"/>
              </w:rPr>
            </w:pPr>
          </w:p>
        </w:tc>
        <w:tc>
          <w:tcPr>
            <w:tcW w:w="4304" w:type="dxa"/>
            <w:noWrap w:val="0"/>
            <w:vAlign w:val="center"/>
          </w:tcPr>
          <w:p>
            <w:pPr>
              <w:jc w:val="both"/>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单位是否对该业务活动实施过程管理。</w:t>
            </w:r>
          </w:p>
        </w:tc>
        <w:tc>
          <w:tcPr>
            <w:tcW w:w="796" w:type="dxa"/>
            <w:vMerge w:val="continue"/>
            <w:noWrap w:val="0"/>
            <w:vAlign w:val="center"/>
          </w:tcPr>
          <w:p>
            <w:pPr>
              <w:jc w:val="center"/>
              <w:rPr>
                <w:rFonts w:ascii="宋体" w:hAnsi="宋体" w:cs="宋体"/>
                <w:color w:val="000000"/>
                <w:sz w:val="22"/>
                <w:szCs w:val="22"/>
              </w:rPr>
            </w:pPr>
          </w:p>
        </w:tc>
        <w:tc>
          <w:tcPr>
            <w:tcW w:w="5478" w:type="dxa"/>
            <w:noWrap w:val="0"/>
            <w:vAlign w:val="center"/>
          </w:tcPr>
          <w:p>
            <w:pPr>
              <w:rPr>
                <w:rFonts w:hint="eastAsia" w:ascii="宋体" w:hAnsi="宋体" w:cs="宋体"/>
                <w:color w:val="000000"/>
                <w:sz w:val="22"/>
                <w:szCs w:val="22"/>
                <w:lang w:bidi="ar"/>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continue"/>
            <w:noWrap w:val="0"/>
            <w:vAlign w:val="center"/>
          </w:tcPr>
          <w:p>
            <w:pPr>
              <w:jc w:val="center"/>
              <w:rPr>
                <w:rFonts w:hint="eastAsia" w:ascii="宋体" w:hAnsi="宋体" w:cs="宋体"/>
                <w:color w:val="000000"/>
                <w:sz w:val="22"/>
                <w:szCs w:val="22"/>
              </w:rPr>
            </w:pPr>
          </w:p>
        </w:tc>
        <w:tc>
          <w:tcPr>
            <w:tcW w:w="1835" w:type="dxa"/>
            <w:gridSpan w:val="2"/>
            <w:vMerge w:val="continue"/>
            <w:noWrap w:val="0"/>
            <w:vAlign w:val="center"/>
          </w:tcPr>
          <w:p>
            <w:pPr>
              <w:textAlignment w:val="center"/>
              <w:rPr>
                <w:rFonts w:hint="eastAsia" w:ascii="宋体" w:hAnsi="宋体" w:cs="宋体"/>
                <w:color w:val="000000"/>
                <w:sz w:val="22"/>
                <w:szCs w:val="22"/>
                <w:lang w:bidi="ar"/>
              </w:rPr>
            </w:pPr>
          </w:p>
        </w:tc>
        <w:tc>
          <w:tcPr>
            <w:tcW w:w="4304" w:type="dxa"/>
            <w:noWrap w:val="0"/>
            <w:vAlign w:val="center"/>
          </w:tcPr>
          <w:p>
            <w:pPr>
              <w:jc w:val="both"/>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业务活动涉及事项的调整是否按照规定程序执行。</w:t>
            </w:r>
          </w:p>
        </w:tc>
        <w:tc>
          <w:tcPr>
            <w:tcW w:w="796" w:type="dxa"/>
            <w:vMerge w:val="continue"/>
            <w:noWrap w:val="0"/>
            <w:vAlign w:val="center"/>
          </w:tcPr>
          <w:p>
            <w:pPr>
              <w:jc w:val="center"/>
              <w:rPr>
                <w:rFonts w:ascii="宋体" w:hAnsi="宋体" w:cs="宋体"/>
                <w:color w:val="000000"/>
                <w:sz w:val="22"/>
                <w:szCs w:val="22"/>
              </w:rPr>
            </w:pPr>
          </w:p>
        </w:tc>
        <w:tc>
          <w:tcPr>
            <w:tcW w:w="5478" w:type="dxa"/>
            <w:noWrap w:val="0"/>
            <w:vAlign w:val="center"/>
          </w:tcPr>
          <w:p>
            <w:pPr>
              <w:rPr>
                <w:rFonts w:hint="eastAsia" w:ascii="宋体" w:hAnsi="宋体" w:cs="宋体"/>
                <w:color w:val="000000"/>
                <w:sz w:val="22"/>
                <w:szCs w:val="22"/>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continue"/>
            <w:noWrap w:val="0"/>
            <w:vAlign w:val="center"/>
          </w:tcPr>
          <w:p>
            <w:pPr>
              <w:jc w:val="center"/>
              <w:rPr>
                <w:rFonts w:hint="eastAsia" w:ascii="宋体" w:hAnsi="宋体" w:cs="宋体"/>
                <w:color w:val="000000"/>
                <w:sz w:val="22"/>
                <w:szCs w:val="22"/>
              </w:rPr>
            </w:pPr>
          </w:p>
        </w:tc>
        <w:tc>
          <w:tcPr>
            <w:tcW w:w="1835" w:type="dxa"/>
            <w:gridSpan w:val="2"/>
            <w:vMerge w:val="continue"/>
            <w:noWrap w:val="0"/>
            <w:vAlign w:val="center"/>
          </w:tcPr>
          <w:p>
            <w:pPr>
              <w:textAlignment w:val="center"/>
              <w:rPr>
                <w:rFonts w:hint="eastAsia" w:ascii="宋体" w:hAnsi="宋体" w:cs="宋体"/>
                <w:color w:val="000000"/>
                <w:sz w:val="22"/>
                <w:szCs w:val="22"/>
                <w:lang w:bidi="ar"/>
              </w:rPr>
            </w:pPr>
          </w:p>
        </w:tc>
        <w:tc>
          <w:tcPr>
            <w:tcW w:w="4304" w:type="dxa"/>
            <w:noWrap w:val="0"/>
            <w:vAlign w:val="center"/>
          </w:tcPr>
          <w:p>
            <w:pPr>
              <w:jc w:val="both"/>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补充指标……</w:t>
            </w:r>
          </w:p>
        </w:tc>
        <w:tc>
          <w:tcPr>
            <w:tcW w:w="796" w:type="dxa"/>
            <w:vMerge w:val="continue"/>
            <w:noWrap w:val="0"/>
            <w:vAlign w:val="center"/>
          </w:tcPr>
          <w:p>
            <w:pPr>
              <w:jc w:val="center"/>
              <w:rPr>
                <w:rFonts w:hint="eastAsia" w:ascii="宋体" w:hAnsi="宋体" w:cs="宋体"/>
                <w:color w:val="000000"/>
                <w:sz w:val="22"/>
                <w:szCs w:val="22"/>
              </w:rPr>
            </w:pPr>
          </w:p>
        </w:tc>
        <w:tc>
          <w:tcPr>
            <w:tcW w:w="5478" w:type="dxa"/>
            <w:noWrap w:val="0"/>
            <w:vAlign w:val="center"/>
          </w:tcPr>
          <w:p>
            <w:pPr>
              <w:rPr>
                <w:rFonts w:hint="eastAsia" w:ascii="宋体" w:hAnsi="宋体" w:cs="宋体"/>
                <w:color w:val="000000"/>
                <w:sz w:val="22"/>
                <w:szCs w:val="22"/>
              </w:rPr>
            </w:pP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8393" w:type="dxa"/>
            <w:gridSpan w:val="5"/>
            <w:noWrap w:val="0"/>
            <w:vAlign w:val="center"/>
          </w:tcPr>
          <w:p>
            <w:pPr>
              <w:jc w:val="center"/>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小计</w:t>
            </w:r>
          </w:p>
        </w:tc>
        <w:tc>
          <w:tcPr>
            <w:tcW w:w="796" w:type="dxa"/>
            <w:noWrap w:val="0"/>
            <w:vAlign w:val="center"/>
          </w:tcPr>
          <w:p>
            <w:pPr>
              <w:jc w:val="center"/>
              <w:rPr>
                <w:rFonts w:ascii="宋体" w:hAnsi="宋体" w:cs="宋体"/>
                <w:color w:val="000000"/>
                <w:sz w:val="22"/>
                <w:szCs w:val="22"/>
              </w:rPr>
            </w:pPr>
            <w:r>
              <w:rPr>
                <w:rFonts w:hint="eastAsia" w:ascii="宋体" w:hAnsi="宋体" w:cs="宋体"/>
                <w:color w:val="000000"/>
                <w:sz w:val="22"/>
                <w:szCs w:val="22"/>
              </w:rPr>
              <w:t>75</w:t>
            </w:r>
          </w:p>
        </w:tc>
        <w:tc>
          <w:tcPr>
            <w:tcW w:w="5478" w:type="dxa"/>
            <w:noWrap w:val="0"/>
            <w:vAlign w:val="center"/>
          </w:tcPr>
          <w:p>
            <w:pPr>
              <w:jc w:val="center"/>
              <w:rPr>
                <w:rFonts w:hint="eastAsia" w:ascii="宋体" w:hAnsi="宋体" w:cs="宋体"/>
                <w:color w:val="000000"/>
                <w:sz w:val="22"/>
                <w:szCs w:val="22"/>
              </w:rPr>
            </w:pP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blHeader/>
        </w:trPr>
        <w:tc>
          <w:tcPr>
            <w:tcW w:w="950" w:type="dxa"/>
            <w:vMerge w:val="restart"/>
            <w:noWrap w:val="0"/>
            <w:vAlign w:val="center"/>
          </w:tcPr>
          <w:p>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三、内部监督</w:t>
            </w:r>
          </w:p>
        </w:tc>
        <w:tc>
          <w:tcPr>
            <w:tcW w:w="1304" w:type="dxa"/>
            <w:noWrap w:val="0"/>
            <w:vAlign w:val="center"/>
          </w:tcPr>
          <w:p>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内部监督机制建立情况</w:t>
            </w:r>
          </w:p>
        </w:tc>
        <w:tc>
          <w:tcPr>
            <w:tcW w:w="1835" w:type="dxa"/>
            <w:gridSpan w:val="2"/>
            <w:noWrap w:val="0"/>
            <w:vAlign w:val="center"/>
          </w:tcPr>
          <w:p>
            <w:pPr>
              <w:textAlignment w:val="center"/>
              <w:rPr>
                <w:rFonts w:hint="eastAsia" w:ascii="宋体" w:hAnsi="宋体" w:cs="宋体"/>
                <w:color w:val="000000"/>
                <w:sz w:val="22"/>
                <w:szCs w:val="22"/>
              </w:rPr>
            </w:pPr>
            <w:r>
              <w:rPr>
                <w:rFonts w:hint="eastAsia" w:ascii="宋体" w:hAnsi="宋体" w:cs="宋体"/>
                <w:color w:val="000000"/>
                <w:sz w:val="22"/>
                <w:szCs w:val="22"/>
                <w:lang w:bidi="ar"/>
              </w:rPr>
              <w:t>部门分离设置</w:t>
            </w:r>
          </w:p>
        </w:tc>
        <w:tc>
          <w:tcPr>
            <w:tcW w:w="4304" w:type="dxa"/>
            <w:noWrap w:val="0"/>
            <w:vAlign w:val="center"/>
          </w:tcPr>
          <w:p>
            <w:pPr>
              <w:jc w:val="both"/>
              <w:textAlignment w:val="center"/>
              <w:rPr>
                <w:rFonts w:hint="eastAsia" w:ascii="宋体" w:hAnsi="宋体" w:cs="宋体"/>
                <w:color w:val="000000"/>
                <w:sz w:val="22"/>
                <w:szCs w:val="22"/>
              </w:rPr>
            </w:pPr>
            <w:r>
              <w:rPr>
                <w:rFonts w:hint="eastAsia" w:ascii="宋体" w:hAnsi="宋体" w:cs="宋体"/>
                <w:color w:val="000000"/>
                <w:sz w:val="22"/>
                <w:szCs w:val="22"/>
                <w:lang w:bidi="ar"/>
              </w:rPr>
              <w:t>监督评价部门（岗位）是否与内部控制</w:t>
            </w:r>
            <w:r>
              <w:rPr>
                <w:rFonts w:hint="eastAsia" w:ascii="宋体" w:hAnsi="宋体" w:cs="宋体"/>
                <w:color w:val="000000"/>
                <w:sz w:val="22"/>
                <w:szCs w:val="22"/>
                <w:lang w:eastAsia="zh-CN" w:bidi="ar"/>
              </w:rPr>
              <w:t>建设</w:t>
            </w:r>
            <w:r>
              <w:rPr>
                <w:rFonts w:hint="eastAsia" w:ascii="宋体" w:hAnsi="宋体" w:cs="宋体"/>
                <w:color w:val="000000"/>
                <w:sz w:val="22"/>
                <w:szCs w:val="22"/>
                <w:lang w:bidi="ar"/>
              </w:rPr>
              <w:t>牵头部门（岗位）相互分离。</w:t>
            </w:r>
          </w:p>
        </w:tc>
        <w:tc>
          <w:tcPr>
            <w:tcW w:w="796" w:type="dxa"/>
            <w:noWrap w:val="0"/>
            <w:vAlign w:val="center"/>
          </w:tcPr>
          <w:p>
            <w:pPr>
              <w:jc w:val="center"/>
              <w:textAlignment w:val="center"/>
              <w:rPr>
                <w:rFonts w:ascii="宋体" w:hAnsi="宋体" w:cs="宋体"/>
                <w:color w:val="000000"/>
                <w:sz w:val="22"/>
                <w:szCs w:val="22"/>
              </w:rPr>
            </w:pPr>
            <w:r>
              <w:rPr>
                <w:rFonts w:hint="eastAsia" w:ascii="宋体" w:hAnsi="宋体" w:cs="宋体"/>
                <w:color w:val="000000"/>
                <w:sz w:val="22"/>
                <w:szCs w:val="22"/>
              </w:rPr>
              <w:t>3</w:t>
            </w:r>
          </w:p>
        </w:tc>
        <w:tc>
          <w:tcPr>
            <w:tcW w:w="5478" w:type="dxa"/>
            <w:noWrap w:val="0"/>
            <w:vAlign w:val="center"/>
          </w:tcPr>
          <w:p>
            <w:pPr>
              <w:textAlignment w:val="center"/>
              <w:rPr>
                <w:rFonts w:ascii="宋体" w:hAnsi="宋体" w:cs="宋体"/>
                <w:color w:val="000000"/>
                <w:sz w:val="22"/>
                <w:szCs w:val="22"/>
                <w:lang w:bidi="ar"/>
              </w:rPr>
            </w:pPr>
            <w:r>
              <w:rPr>
                <w:rFonts w:hint="eastAsia" w:ascii="宋体" w:hAnsi="宋体" w:cs="宋体"/>
                <w:color w:val="000000"/>
                <w:sz w:val="22"/>
                <w:szCs w:val="22"/>
                <w:lang w:bidi="ar"/>
              </w:rPr>
              <w:t>已实现评价部门和牵头部门分离的，得满分；未实现的，不得分。</w:t>
            </w:r>
          </w:p>
        </w:tc>
        <w:tc>
          <w:tcPr>
            <w:tcW w:w="660" w:type="dxa"/>
            <w:noWrap w:val="0"/>
            <w:vAlign w:val="center"/>
          </w:tcPr>
          <w:p>
            <w:pPr>
              <w:jc w:val="center"/>
              <w:textAlignment w:val="center"/>
              <w:rPr>
                <w:rFonts w:hint="eastAsia" w:ascii="宋体" w:hAnsi="宋体" w:cs="宋体"/>
                <w:color w:val="00000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noWrap w:val="0"/>
            <w:vAlign w:val="center"/>
          </w:tcPr>
          <w:p>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内部监督机制实施情况</w:t>
            </w:r>
          </w:p>
        </w:tc>
        <w:tc>
          <w:tcPr>
            <w:tcW w:w="1835" w:type="dxa"/>
            <w:gridSpan w:val="2"/>
            <w:noWrap w:val="0"/>
            <w:vAlign w:val="center"/>
          </w:tcPr>
          <w:p>
            <w:pPr>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问题整改情况</w:t>
            </w:r>
          </w:p>
        </w:tc>
        <w:tc>
          <w:tcPr>
            <w:tcW w:w="4304" w:type="dxa"/>
            <w:noWrap w:val="0"/>
            <w:vAlign w:val="center"/>
          </w:tcPr>
          <w:p>
            <w:pPr>
              <w:jc w:val="both"/>
              <w:textAlignment w:val="center"/>
              <w:rPr>
                <w:rFonts w:hint="eastAsia" w:ascii="宋体" w:hAnsi="宋体" w:cs="宋体"/>
                <w:color w:val="000000"/>
                <w:sz w:val="22"/>
                <w:szCs w:val="22"/>
              </w:rPr>
            </w:pPr>
            <w:r>
              <w:rPr>
                <w:rFonts w:hint="eastAsia" w:ascii="宋体" w:hAnsi="宋体" w:cs="宋体"/>
                <w:color w:val="000000"/>
                <w:sz w:val="22"/>
                <w:szCs w:val="22"/>
                <w:lang w:bidi="ar"/>
              </w:rPr>
              <w:t>本年度风险评估、外部审计、内部审计、纪检监察、巡视、内部控制评价等发现的内部控制相关问题的整改落实情况。</w:t>
            </w:r>
          </w:p>
        </w:tc>
        <w:tc>
          <w:tcPr>
            <w:tcW w:w="796" w:type="dxa"/>
            <w:noWrap w:val="0"/>
            <w:vAlign w:val="center"/>
          </w:tcPr>
          <w:p>
            <w:pPr>
              <w:jc w:val="center"/>
              <w:rPr>
                <w:rFonts w:ascii="宋体" w:hAnsi="宋体" w:cs="宋体"/>
                <w:color w:val="000000"/>
                <w:sz w:val="22"/>
                <w:szCs w:val="22"/>
              </w:rPr>
            </w:pPr>
            <w:r>
              <w:rPr>
                <w:rFonts w:hint="eastAsia" w:ascii="宋体" w:hAnsi="宋体" w:cs="宋体"/>
                <w:color w:val="000000"/>
                <w:sz w:val="22"/>
                <w:szCs w:val="22"/>
              </w:rPr>
              <w:t>2</w:t>
            </w:r>
          </w:p>
        </w:tc>
        <w:tc>
          <w:tcPr>
            <w:tcW w:w="5478" w:type="dxa"/>
            <w:noWrap w:val="0"/>
            <w:vAlign w:val="center"/>
          </w:tcPr>
          <w:p>
            <w:pPr>
              <w:rPr>
                <w:rFonts w:ascii="宋体" w:hAnsi="宋体" w:cs="宋体"/>
                <w:color w:val="000000"/>
                <w:sz w:val="22"/>
                <w:szCs w:val="22"/>
                <w:lang w:bidi="ar"/>
              </w:rPr>
            </w:pPr>
            <w:r>
              <w:rPr>
                <w:rFonts w:hint="eastAsia" w:ascii="宋体" w:hAnsi="宋体" w:cs="宋体"/>
                <w:color w:val="000000"/>
                <w:sz w:val="22"/>
                <w:szCs w:val="22"/>
                <w:lang w:bidi="ar"/>
              </w:rPr>
              <w:t>每发现一处逾期未整改完成的，扣0.5分，扣完为止。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blHeader/>
        </w:trPr>
        <w:tc>
          <w:tcPr>
            <w:tcW w:w="8393" w:type="dxa"/>
            <w:gridSpan w:val="5"/>
            <w:noWrap w:val="0"/>
            <w:vAlign w:val="center"/>
          </w:tcPr>
          <w:p>
            <w:pPr>
              <w:jc w:val="center"/>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小计</w:t>
            </w:r>
          </w:p>
        </w:tc>
        <w:tc>
          <w:tcPr>
            <w:tcW w:w="796" w:type="dxa"/>
            <w:noWrap w:val="0"/>
            <w:vAlign w:val="center"/>
          </w:tcPr>
          <w:p>
            <w:pPr>
              <w:jc w:val="center"/>
              <w:rPr>
                <w:rFonts w:ascii="宋体" w:hAnsi="宋体" w:cs="宋体"/>
                <w:color w:val="000000"/>
                <w:sz w:val="22"/>
                <w:szCs w:val="22"/>
              </w:rPr>
            </w:pPr>
            <w:r>
              <w:rPr>
                <w:rFonts w:hint="eastAsia" w:ascii="宋体" w:hAnsi="宋体" w:cs="宋体"/>
                <w:color w:val="000000"/>
                <w:sz w:val="22"/>
                <w:szCs w:val="22"/>
              </w:rPr>
              <w:t>5</w:t>
            </w:r>
          </w:p>
        </w:tc>
        <w:tc>
          <w:tcPr>
            <w:tcW w:w="5478" w:type="dxa"/>
            <w:noWrap w:val="0"/>
            <w:vAlign w:val="center"/>
          </w:tcPr>
          <w:p>
            <w:pPr>
              <w:jc w:val="center"/>
              <w:rPr>
                <w:rFonts w:hint="eastAsia" w:ascii="宋体" w:hAnsi="宋体" w:cs="宋体"/>
                <w:color w:val="000000"/>
                <w:sz w:val="22"/>
                <w:szCs w:val="22"/>
              </w:rPr>
            </w:pP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blHeader/>
        </w:trPr>
        <w:tc>
          <w:tcPr>
            <w:tcW w:w="2254" w:type="dxa"/>
            <w:gridSpan w:val="2"/>
            <w:noWrap/>
            <w:vAlign w:val="center"/>
          </w:tcPr>
          <w:p>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其他情况</w:t>
            </w:r>
          </w:p>
        </w:tc>
        <w:tc>
          <w:tcPr>
            <w:tcW w:w="13073" w:type="dxa"/>
            <w:gridSpan w:val="6"/>
            <w:noWrap w:val="0"/>
            <w:vAlign w:val="center"/>
          </w:tcPr>
          <w:p>
            <w:pPr>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收到各级政府财政部门、上级主管部门或其他部门内部控制相关表彰的，酌情加1-5分；收到批评的，酌情扣1-5分。</w:t>
            </w:r>
          </w:p>
          <w:p>
            <w:pPr>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最终得分不得超过100分</w:t>
            </w:r>
          </w:p>
        </w:tc>
      </w:tr>
    </w:tbl>
    <w:p>
      <w:pPr>
        <w:widowControl w:val="0"/>
        <w:overflowPunct w:val="0"/>
        <w:spacing w:line="360" w:lineRule="auto"/>
        <w:ind w:firstLine="480" w:firstLineChars="200"/>
        <w:rPr>
          <w:rFonts w:ascii="仿宋_GB2312" w:hAnsi="仿宋_GB2312" w:eastAsia="仿宋_GB2312" w:cs="仿宋_GB2312"/>
        </w:rPr>
        <w:sectPr>
          <w:pgSz w:w="16838" w:h="11906" w:orient="landscape"/>
          <w:pgMar w:top="1800" w:right="1440" w:bottom="1800" w:left="1440" w:header="851" w:footer="992" w:gutter="0"/>
          <w:cols w:space="720" w:num="1"/>
          <w:docGrid w:type="lines" w:linePitch="326" w:charSpace="0"/>
        </w:sectPr>
      </w:pPr>
      <w:r>
        <w:rPr>
          <w:rFonts w:hint="eastAsia" w:ascii="仿宋_GB2312" w:hAnsi="仿宋_GB2312" w:eastAsia="仿宋_GB2312" w:cs="仿宋_GB2312"/>
        </w:rPr>
        <w:t>注：若因单位不涉及某类业务，导致某项指标不适用的，该项指标不得分。整体得分换算公式如下：得分=指标得分/（100-不适用指标分值）*100分）。</w:t>
      </w:r>
    </w:p>
    <w:p>
      <w:pPr>
        <w:widowControl w:val="0"/>
        <w:overflowPunct w:val="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附2</w:t>
      </w:r>
    </w:p>
    <w:p>
      <w:pPr>
        <w:widowControl w:val="0"/>
        <w:autoSpaceDE w:val="0"/>
        <w:autoSpaceDN w:val="0"/>
        <w:spacing w:before="156" w:beforeLines="50" w:after="156" w:afterLines="50" w:line="560" w:lineRule="exact"/>
        <w:ind w:firstLine="720"/>
        <w:jc w:val="center"/>
        <w:textAlignment w:val="baseline"/>
        <w:rPr>
          <w:rFonts w:ascii="华文中宋" w:hAnsi="华文中宋" w:eastAsia="华文中宋"/>
          <w:color w:val="000000"/>
          <w:sz w:val="36"/>
          <w:szCs w:val="36"/>
          <w:u w:val="single"/>
        </w:rPr>
      </w:pPr>
    </w:p>
    <w:p>
      <w:pPr>
        <w:widowControl w:val="0"/>
        <w:autoSpaceDE w:val="0"/>
        <w:autoSpaceDN w:val="0"/>
        <w:spacing w:before="156" w:beforeLines="50" w:after="156" w:afterLines="50" w:line="560" w:lineRule="exact"/>
        <w:ind w:firstLine="720"/>
        <w:jc w:val="center"/>
        <w:textAlignment w:val="baseline"/>
        <w:rPr>
          <w:rFonts w:ascii="华文中宋" w:hAnsi="华文中宋" w:eastAsia="华文中宋"/>
          <w:color w:val="000000"/>
          <w:sz w:val="36"/>
          <w:szCs w:val="36"/>
          <w:u w:val="single"/>
        </w:rPr>
      </w:pPr>
    </w:p>
    <w:p>
      <w:pPr>
        <w:widowControl w:val="0"/>
        <w:autoSpaceDE w:val="0"/>
        <w:autoSpaceDN w:val="0"/>
        <w:spacing w:before="156" w:beforeLines="50" w:after="156" w:afterLines="50" w:line="560" w:lineRule="exact"/>
        <w:ind w:firstLine="720"/>
        <w:jc w:val="center"/>
        <w:textAlignment w:val="baseline"/>
        <w:rPr>
          <w:rFonts w:ascii="华文中宋" w:hAnsi="华文中宋" w:eastAsia="华文中宋"/>
          <w:color w:val="000000"/>
          <w:sz w:val="36"/>
          <w:szCs w:val="36"/>
          <w:u w:val="single"/>
        </w:rPr>
      </w:pPr>
    </w:p>
    <w:p>
      <w:pPr>
        <w:widowControl w:val="0"/>
        <w:autoSpaceDE w:val="0"/>
        <w:autoSpaceDN w:val="0"/>
        <w:spacing w:before="156" w:beforeLines="50" w:after="156" w:afterLines="50" w:line="560" w:lineRule="exact"/>
        <w:jc w:val="center"/>
        <w:textAlignment w:val="baseline"/>
        <w:rPr>
          <w:rFonts w:ascii="华文中宋" w:hAnsi="华文中宋" w:eastAsia="华文中宋"/>
          <w:color w:val="000000"/>
          <w:sz w:val="36"/>
          <w:szCs w:val="36"/>
          <w:u w:val="single"/>
        </w:rPr>
      </w:pPr>
    </w:p>
    <w:p>
      <w:pPr>
        <w:widowControl w:val="0"/>
        <w:autoSpaceDE w:val="0"/>
        <w:autoSpaceDN w:val="0"/>
        <w:spacing w:before="156" w:beforeLines="50" w:after="156" w:afterLines="50" w:line="560" w:lineRule="exact"/>
        <w:jc w:val="center"/>
        <w:textAlignment w:val="baseline"/>
        <w:rPr>
          <w:rFonts w:ascii="华文中宋" w:hAnsi="华文中宋" w:eastAsia="华文中宋"/>
          <w:color w:val="000000"/>
          <w:sz w:val="36"/>
          <w:szCs w:val="36"/>
          <w:u w:val="single"/>
        </w:rPr>
      </w:pPr>
      <w:r>
        <w:rPr>
          <w:rFonts w:hint="eastAsia" w:ascii="华文中宋" w:hAnsi="华文中宋" w:eastAsia="华文中宋"/>
          <w:color w:val="000000"/>
          <w:sz w:val="36"/>
          <w:szCs w:val="36"/>
          <w:u w:val="single"/>
        </w:rPr>
        <w:t>（单位名称）</w:t>
      </w:r>
    </w:p>
    <w:p>
      <w:pPr>
        <w:widowControl w:val="0"/>
        <w:autoSpaceDE w:val="0"/>
        <w:autoSpaceDN w:val="0"/>
        <w:spacing w:before="156" w:beforeLines="50" w:after="156" w:afterLines="50" w:line="560" w:lineRule="exact"/>
        <w:jc w:val="center"/>
        <w:textAlignment w:val="baseline"/>
        <w:rPr>
          <w:rFonts w:ascii="华文中宋" w:hAnsi="华文中宋" w:eastAsia="华文中宋"/>
          <w:color w:val="000000"/>
          <w:sz w:val="36"/>
        </w:rPr>
      </w:pPr>
      <w:r>
        <w:rPr>
          <w:rFonts w:hint="eastAsia" w:ascii="华文中宋" w:hAnsi="华文中宋" w:eastAsia="华文中宋"/>
          <w:color w:val="000000"/>
          <w:sz w:val="36"/>
          <w:szCs w:val="36"/>
          <w:u w:val="single"/>
        </w:rPr>
        <w:t>（评价年度）</w:t>
      </w:r>
      <w:r>
        <w:rPr>
          <w:rFonts w:hint="eastAsia" w:ascii="华文中宋" w:hAnsi="华文中宋" w:eastAsia="华文中宋"/>
          <w:color w:val="000000"/>
          <w:sz w:val="36"/>
          <w:szCs w:val="36"/>
        </w:rPr>
        <w:t>年度</w:t>
      </w:r>
      <w:r>
        <w:rPr>
          <w:rFonts w:ascii="华文中宋" w:hAnsi="华文中宋" w:eastAsia="华文中宋"/>
          <w:color w:val="000000"/>
          <w:sz w:val="36"/>
        </w:rPr>
        <w:t>内部控制</w:t>
      </w:r>
      <w:r>
        <w:rPr>
          <w:rFonts w:hint="eastAsia" w:ascii="华文中宋" w:hAnsi="华文中宋" w:eastAsia="华文中宋"/>
          <w:color w:val="000000"/>
          <w:sz w:val="36"/>
        </w:rPr>
        <w:t>自我</w:t>
      </w:r>
      <w:r>
        <w:rPr>
          <w:rFonts w:ascii="华文中宋" w:hAnsi="华文中宋" w:eastAsia="华文中宋"/>
          <w:color w:val="000000"/>
          <w:sz w:val="36"/>
        </w:rPr>
        <w:t>评价报告</w:t>
      </w:r>
    </w:p>
    <w:p>
      <w:pPr>
        <w:widowControl w:val="0"/>
        <w:autoSpaceDE w:val="0"/>
        <w:autoSpaceDN w:val="0"/>
        <w:spacing w:before="156" w:beforeLines="50" w:after="156" w:afterLines="50" w:line="560" w:lineRule="exact"/>
        <w:jc w:val="center"/>
        <w:textAlignment w:val="baseline"/>
        <w:rPr>
          <w:rFonts w:ascii="仿宋_GB2312" w:hAnsi="仿宋_GB2312" w:eastAsia="仿宋_GB2312" w:cs="仿宋_GB2312"/>
          <w:color w:val="000000"/>
          <w:sz w:val="32"/>
          <w:szCs w:val="22"/>
        </w:rPr>
      </w:pPr>
      <w:r>
        <w:rPr>
          <w:rFonts w:hint="eastAsia" w:ascii="仿宋_GB2312" w:hAnsi="仿宋_GB2312" w:eastAsia="仿宋_GB2312" w:cs="仿宋_GB2312"/>
          <w:color w:val="000000"/>
          <w:sz w:val="32"/>
          <w:szCs w:val="22"/>
        </w:rPr>
        <w:t>（参考格式）</w:t>
      </w:r>
    </w:p>
    <w:p>
      <w:pPr>
        <w:widowControl w:val="0"/>
        <w:autoSpaceDE w:val="0"/>
        <w:autoSpaceDN w:val="0"/>
        <w:spacing w:line="360" w:lineRule="auto"/>
        <w:textAlignment w:val="baseline"/>
        <w:rPr>
          <w:rFonts w:ascii="仿宋_GB2312" w:hAnsi="仿宋_GB2312" w:eastAsia="仿宋_GB2312"/>
          <w:color w:val="000000"/>
          <w:sz w:val="28"/>
          <w:szCs w:val="28"/>
        </w:rPr>
      </w:pPr>
    </w:p>
    <w:p>
      <w:pPr>
        <w:autoSpaceDE w:val="0"/>
        <w:autoSpaceDN w:val="0"/>
        <w:spacing w:before="6240" w:beforeLines="2000" w:line="360" w:lineRule="auto"/>
        <w:jc w:val="center"/>
        <w:textAlignment w:val="baseline"/>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报告日期：    年  月  日</w:t>
      </w:r>
    </w:p>
    <w:p>
      <w:pPr>
        <w:pStyle w:val="2"/>
        <w:ind w:firstLine="480"/>
        <w:rPr>
          <w:rFonts w:hint="eastAsia"/>
        </w:rPr>
      </w:pPr>
    </w:p>
    <w:p>
      <w:pPr>
        <w:pStyle w:val="15"/>
        <w:numPr>
          <w:ilvl w:val="0"/>
          <w:numId w:val="6"/>
        </w:numPr>
        <w:ind w:firstLine="642" w:firstLineChars="200"/>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内部控制自我评价基本情况</w:t>
      </w:r>
    </w:p>
    <w:p>
      <w:pPr>
        <w:autoSpaceDE w:val="0"/>
        <w:autoSpaceDN w:val="0"/>
        <w:spacing w:line="560" w:lineRule="exact"/>
        <w:ind w:firstLine="640" w:firstLineChars="200"/>
        <w:textAlignment w:val="baseline"/>
        <w:rPr>
          <w:rFonts w:hint="eastAsia" w:ascii="华文楷体" w:hAnsi="华文楷体" w:eastAsia="华文楷体" w:cs="华文楷体"/>
          <w:color w:val="000000"/>
          <w:sz w:val="32"/>
          <w:szCs w:val="32"/>
        </w:rPr>
      </w:pPr>
      <w:r>
        <w:rPr>
          <w:rFonts w:hint="eastAsia" w:ascii="华文楷体" w:hAnsi="华文楷体" w:eastAsia="华文楷体" w:cs="华文楷体"/>
          <w:color w:val="000000"/>
          <w:sz w:val="32"/>
          <w:szCs w:val="32"/>
        </w:rPr>
        <w:t>（一）评价工作安排情况</w:t>
      </w:r>
    </w:p>
    <w:p>
      <w:pPr>
        <w:pStyle w:val="15"/>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 xml:space="preserve">简要说明本年度内部控制自我评价工作安排情况，包括评价实施部门、评价人员安排、评价进度安排等。                              </w:t>
      </w:r>
    </w:p>
    <w:p>
      <w:pPr>
        <w:autoSpaceDE w:val="0"/>
        <w:autoSpaceDN w:val="0"/>
        <w:spacing w:line="560" w:lineRule="exact"/>
        <w:ind w:firstLine="640" w:firstLineChars="200"/>
        <w:textAlignment w:val="baseline"/>
        <w:rPr>
          <w:rFonts w:hint="eastAsia" w:ascii="华文楷体" w:hAnsi="华文楷体" w:eastAsia="华文楷体" w:cs="华文楷体"/>
          <w:color w:val="000000"/>
          <w:sz w:val="32"/>
          <w:szCs w:val="32"/>
        </w:rPr>
      </w:pPr>
      <w:r>
        <w:rPr>
          <w:rFonts w:hint="eastAsia" w:ascii="华文楷体" w:hAnsi="华文楷体" w:eastAsia="华文楷体" w:cs="华文楷体"/>
          <w:color w:val="000000"/>
          <w:sz w:val="32"/>
          <w:szCs w:val="32"/>
        </w:rPr>
        <w:t>（二）评价工作实施情况</w:t>
      </w:r>
    </w:p>
    <w:p>
      <w:pPr>
        <w:pStyle w:val="15"/>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 xml:space="preserve">简要说明本年度内部控制自我评价工作实施情况，包括评价周期、评价范围、评价程序和方法等。                   </w:t>
      </w:r>
    </w:p>
    <w:p>
      <w:pPr>
        <w:pStyle w:val="15"/>
        <w:numPr>
          <w:ilvl w:val="0"/>
          <w:numId w:val="6"/>
        </w:numPr>
        <w:ind w:firstLine="642" w:firstLineChars="200"/>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内部控制自我评价的结论</w:t>
      </w:r>
    </w:p>
    <w:p>
      <w:pPr>
        <w:widowControl w:val="0"/>
        <w:autoSpaceDE w:val="0"/>
        <w:autoSpaceDN w:val="0"/>
        <w:spacing w:line="560" w:lineRule="exact"/>
        <w:ind w:firstLine="640" w:firstLineChars="200"/>
        <w:textAlignment w:val="baseline"/>
        <w:rPr>
          <w:rFonts w:hint="eastAsia" w:ascii="华文楷体" w:hAnsi="华文楷体" w:eastAsia="华文楷体" w:cs="华文楷体"/>
          <w:color w:val="000000"/>
          <w:sz w:val="32"/>
          <w:szCs w:val="32"/>
        </w:rPr>
      </w:pPr>
      <w:r>
        <w:rPr>
          <w:rFonts w:hint="eastAsia" w:ascii="华文楷体" w:hAnsi="华文楷体" w:eastAsia="华文楷体" w:cs="华文楷体"/>
          <w:color w:val="000000"/>
          <w:sz w:val="32"/>
          <w:szCs w:val="32"/>
        </w:rPr>
        <w:t>（一）评价得分情况</w:t>
      </w:r>
    </w:p>
    <w:p>
      <w:pPr>
        <w:widowControl w:val="0"/>
        <w:autoSpaceDE w:val="0"/>
        <w:autoSpaceDN w:val="0"/>
        <w:spacing w:line="560" w:lineRule="exact"/>
        <w:ind w:firstLine="640" w:firstLineChars="200"/>
        <w:jc w:val="both"/>
        <w:textAlignment w:val="baseline"/>
        <w:rPr>
          <w:rFonts w:ascii="仿宋_GB2312" w:hAnsi="黑体" w:eastAsia="仿宋_GB2312"/>
          <w:color w:val="000000"/>
          <w:sz w:val="32"/>
          <w:szCs w:val="32"/>
        </w:rPr>
      </w:pPr>
      <w:r>
        <w:rPr>
          <w:rFonts w:hint="eastAsia" w:ascii="仿宋_GB2312" w:hAnsi="黑体" w:eastAsia="仿宋_GB2312"/>
          <w:color w:val="000000"/>
          <w:sz w:val="32"/>
          <w:szCs w:val="32"/>
        </w:rPr>
        <w:t>根据《行政事业单位内部控制评价办法》有关规定，内部控制</w:t>
      </w:r>
      <w:r>
        <w:rPr>
          <w:rFonts w:hint="eastAsia" w:ascii="仿宋_GB2312" w:hAnsi="黑体" w:eastAsia="仿宋_GB2312"/>
          <w:color w:val="000000"/>
          <w:sz w:val="32"/>
          <w:szCs w:val="32"/>
          <w:lang w:eastAsia="zh-CN"/>
        </w:rPr>
        <w:t>自我</w:t>
      </w:r>
      <w:r>
        <w:rPr>
          <w:rFonts w:hint="eastAsia" w:ascii="仿宋_GB2312" w:hAnsi="黑体" w:eastAsia="仿宋_GB2312"/>
          <w:color w:val="000000"/>
          <w:sz w:val="32"/>
          <w:szCs w:val="32"/>
        </w:rPr>
        <w:t>评价得分为</w:t>
      </w:r>
      <w:r>
        <w:rPr>
          <w:rFonts w:hint="eastAsia" w:ascii="仿宋_GB2312" w:hAnsi="黑体" w:eastAsia="仿宋_GB2312"/>
          <w:color w:val="000000"/>
          <w:sz w:val="32"/>
          <w:szCs w:val="32"/>
          <w:u w:val="single"/>
        </w:rPr>
        <w:t xml:space="preserve">   </w:t>
      </w:r>
      <w:r>
        <w:rPr>
          <w:rFonts w:hint="eastAsia" w:ascii="仿宋_GB2312" w:hAnsi="黑体" w:eastAsia="仿宋_GB2312"/>
          <w:color w:val="000000"/>
          <w:sz w:val="32"/>
          <w:szCs w:val="32"/>
        </w:rPr>
        <w:t>分。评价得分如下：</w:t>
      </w:r>
    </w:p>
    <w:tbl>
      <w:tblPr>
        <w:tblStyle w:val="10"/>
        <w:tblW w:w="5384" w:type="pct"/>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4214"/>
        <w:gridCol w:w="1611"/>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1017" w:type="pct"/>
            <w:noWrap w:val="0"/>
            <w:vAlign w:val="center"/>
          </w:tcPr>
          <w:p>
            <w:pPr>
              <w:widowControl w:val="0"/>
              <w:overflowPunct w:val="0"/>
              <w:spacing w:line="5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一级指标</w:t>
            </w:r>
          </w:p>
        </w:tc>
        <w:tc>
          <w:tcPr>
            <w:tcW w:w="2296" w:type="pct"/>
            <w:noWrap w:val="0"/>
            <w:vAlign w:val="center"/>
          </w:tcPr>
          <w:p>
            <w:pPr>
              <w:widowControl w:val="0"/>
              <w:overflowPunct w:val="0"/>
              <w:spacing w:line="5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二级指标</w:t>
            </w:r>
          </w:p>
        </w:tc>
        <w:tc>
          <w:tcPr>
            <w:tcW w:w="878" w:type="pct"/>
            <w:noWrap w:val="0"/>
            <w:vAlign w:val="center"/>
          </w:tcPr>
          <w:p>
            <w:pPr>
              <w:widowControl w:val="0"/>
              <w:overflowPunct w:val="0"/>
              <w:spacing w:line="5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分值</w:t>
            </w:r>
          </w:p>
        </w:tc>
        <w:tc>
          <w:tcPr>
            <w:tcW w:w="809" w:type="pct"/>
            <w:noWrap w:val="0"/>
            <w:vAlign w:val="top"/>
          </w:tcPr>
          <w:p>
            <w:pPr>
              <w:widowControl w:val="0"/>
              <w:overflowPunct w:val="0"/>
              <w:spacing w:line="5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7" w:type="pct"/>
            <w:vMerge w:val="restart"/>
            <w:noWrap w:val="0"/>
            <w:vAlign w:val="center"/>
          </w:tcPr>
          <w:p>
            <w:pPr>
              <w:widowControl w:val="0"/>
              <w:overflowPunct w:val="0"/>
              <w:spacing w:line="500" w:lineRule="exact"/>
              <w:jc w:val="both"/>
              <w:rPr>
                <w:rFonts w:hint="eastAsia" w:ascii="仿宋_GB2312" w:hAnsi="仿宋_GB2312" w:eastAsia="仿宋_GB2312" w:cs="仿宋_GB2312"/>
                <w:sz w:val="28"/>
                <w:szCs w:val="28"/>
              </w:rPr>
            </w:pPr>
          </w:p>
          <w:p>
            <w:pPr>
              <w:widowControl w:val="0"/>
              <w:overflowPunct w:val="0"/>
              <w:spacing w:line="50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一、单位层面内部控制</w:t>
            </w:r>
          </w:p>
        </w:tc>
        <w:tc>
          <w:tcPr>
            <w:tcW w:w="2296" w:type="pct"/>
            <w:noWrap w:val="0"/>
            <w:vAlign w:val="center"/>
          </w:tcPr>
          <w:p>
            <w:pPr>
              <w:pStyle w:val="9"/>
              <w:widowControl w:val="0"/>
              <w:spacing w:beforeAutospacing="0" w:afterAutospacing="0" w:line="500" w:lineRule="exact"/>
              <w:jc w:val="both"/>
              <w:rPr>
                <w:rFonts w:hint="eastAsia" w:ascii="仿宋_GB2312" w:hAnsi="仿宋_GB2312" w:eastAsia="仿宋_GB2312" w:cs="仿宋_GB2312"/>
                <w:color w:val="000000"/>
                <w:sz w:val="28"/>
                <w:szCs w:val="28"/>
              </w:rPr>
            </w:pPr>
            <w:r>
              <w:rPr>
                <w:rFonts w:hint="eastAsia" w:ascii="仿宋_GB2312" w:eastAsia="仿宋_GB2312"/>
                <w:sz w:val="28"/>
                <w:szCs w:val="28"/>
              </w:rPr>
              <w:t>1.议事决策机制</w:t>
            </w:r>
          </w:p>
        </w:tc>
        <w:tc>
          <w:tcPr>
            <w:tcW w:w="878" w:type="pct"/>
            <w:vMerge w:val="restart"/>
            <w:noWrap w:val="0"/>
            <w:vAlign w:val="center"/>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w:t>
            </w:r>
          </w:p>
        </w:tc>
        <w:tc>
          <w:tcPr>
            <w:tcW w:w="809" w:type="pct"/>
            <w:noWrap w:val="0"/>
            <w:vAlign w:val="top"/>
          </w:tcPr>
          <w:p>
            <w:pPr>
              <w:pStyle w:val="9"/>
              <w:widowControl w:val="0"/>
              <w:spacing w:beforeAutospacing="0" w:afterAutospacing="0" w:line="5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7" w:type="pct"/>
            <w:vMerge w:val="continue"/>
            <w:noWrap w:val="0"/>
            <w:vAlign w:val="center"/>
          </w:tcPr>
          <w:p>
            <w:pPr>
              <w:widowControl w:val="0"/>
              <w:overflowPunct w:val="0"/>
              <w:spacing w:line="500" w:lineRule="exact"/>
              <w:jc w:val="both"/>
              <w:rPr>
                <w:rFonts w:ascii="仿宋_GB2312" w:hAnsi="仿宋_GB2312" w:eastAsia="仿宋_GB2312" w:cs="仿宋_GB2312"/>
                <w:sz w:val="28"/>
                <w:szCs w:val="28"/>
              </w:rPr>
            </w:pPr>
          </w:p>
        </w:tc>
        <w:tc>
          <w:tcPr>
            <w:tcW w:w="2296" w:type="pct"/>
            <w:noWrap w:val="0"/>
            <w:vAlign w:val="center"/>
          </w:tcPr>
          <w:p>
            <w:pPr>
              <w:pStyle w:val="9"/>
              <w:spacing w:beforeAutospacing="0" w:afterAutospacing="0" w:line="500" w:lineRule="exact"/>
              <w:jc w:val="both"/>
              <w:rPr>
                <w:rFonts w:ascii="仿宋_GB2312" w:hAnsi="仿宋_GB2312" w:eastAsia="仿宋_GB2312" w:cs="仿宋_GB2312"/>
                <w:sz w:val="28"/>
                <w:szCs w:val="28"/>
              </w:rPr>
            </w:pPr>
            <w:r>
              <w:rPr>
                <w:rFonts w:hint="eastAsia" w:ascii="仿宋_GB2312" w:eastAsia="仿宋_GB2312"/>
                <w:sz w:val="28"/>
                <w:szCs w:val="28"/>
              </w:rPr>
              <w:t>2.权力制衡机制</w:t>
            </w:r>
          </w:p>
        </w:tc>
        <w:tc>
          <w:tcPr>
            <w:tcW w:w="878" w:type="pct"/>
            <w:vMerge w:val="continue"/>
            <w:noWrap w:val="0"/>
            <w:vAlign w:val="center"/>
          </w:tcPr>
          <w:p>
            <w:pPr>
              <w:pStyle w:val="9"/>
              <w:spacing w:beforeAutospacing="0" w:afterAutospacing="0" w:line="500" w:lineRule="exact"/>
              <w:jc w:val="center"/>
              <w:rPr>
                <w:rFonts w:ascii="仿宋_GB2312" w:hAnsi="仿宋_GB2312" w:eastAsia="仿宋_GB2312" w:cs="仿宋_GB2312"/>
                <w:color w:val="000000"/>
                <w:sz w:val="28"/>
                <w:szCs w:val="28"/>
              </w:rPr>
            </w:pPr>
          </w:p>
        </w:tc>
        <w:tc>
          <w:tcPr>
            <w:tcW w:w="809" w:type="pct"/>
            <w:noWrap w:val="0"/>
            <w:vAlign w:val="top"/>
          </w:tcPr>
          <w:p>
            <w:pPr>
              <w:pStyle w:val="9"/>
              <w:widowControl w:val="0"/>
              <w:spacing w:beforeAutospacing="0" w:afterAutospacing="0" w:line="5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7" w:type="pct"/>
            <w:vMerge w:val="continue"/>
            <w:noWrap w:val="0"/>
            <w:vAlign w:val="center"/>
          </w:tcPr>
          <w:p>
            <w:pPr>
              <w:widowControl w:val="0"/>
              <w:overflowPunct w:val="0"/>
              <w:spacing w:line="500" w:lineRule="exact"/>
              <w:jc w:val="both"/>
              <w:rPr>
                <w:rFonts w:hint="eastAsia" w:ascii="仿宋_GB2312" w:hAnsi="仿宋_GB2312" w:eastAsia="仿宋_GB2312" w:cs="仿宋_GB2312"/>
                <w:sz w:val="28"/>
                <w:szCs w:val="28"/>
              </w:rPr>
            </w:pPr>
          </w:p>
        </w:tc>
        <w:tc>
          <w:tcPr>
            <w:tcW w:w="2296" w:type="pct"/>
            <w:noWrap w:val="0"/>
            <w:vAlign w:val="center"/>
          </w:tcPr>
          <w:p>
            <w:pPr>
              <w:pStyle w:val="9"/>
              <w:widowControl w:val="0"/>
              <w:spacing w:beforeAutospacing="0" w:afterAutospacing="0" w:line="500" w:lineRule="exact"/>
              <w:jc w:val="both"/>
              <w:rPr>
                <w:rFonts w:hint="eastAsia" w:ascii="仿宋_GB2312" w:eastAsia="仿宋_GB2312"/>
                <w:sz w:val="28"/>
                <w:szCs w:val="28"/>
              </w:rPr>
            </w:pPr>
            <w:r>
              <w:rPr>
                <w:rFonts w:hint="eastAsia" w:ascii="仿宋_GB2312" w:eastAsia="仿宋_GB2312"/>
                <w:sz w:val="28"/>
                <w:szCs w:val="28"/>
              </w:rPr>
              <w:t>3.信息系统</w:t>
            </w:r>
          </w:p>
        </w:tc>
        <w:tc>
          <w:tcPr>
            <w:tcW w:w="878" w:type="pct"/>
            <w:vMerge w:val="continue"/>
            <w:noWrap w:val="0"/>
            <w:vAlign w:val="center"/>
          </w:tcPr>
          <w:p>
            <w:pPr>
              <w:pStyle w:val="9"/>
              <w:widowControl w:val="0"/>
              <w:spacing w:beforeAutospacing="0" w:afterAutospacing="0" w:line="500" w:lineRule="exact"/>
              <w:jc w:val="center"/>
              <w:rPr>
                <w:rFonts w:hint="eastAsia" w:ascii="仿宋_GB2312" w:hAnsi="仿宋_GB2312" w:eastAsia="仿宋_GB2312" w:cs="仿宋_GB2312"/>
                <w:color w:val="000000"/>
                <w:sz w:val="28"/>
                <w:szCs w:val="28"/>
              </w:rPr>
            </w:pPr>
          </w:p>
        </w:tc>
        <w:tc>
          <w:tcPr>
            <w:tcW w:w="809" w:type="pct"/>
            <w:noWrap w:val="0"/>
            <w:vAlign w:val="top"/>
          </w:tcPr>
          <w:p>
            <w:pPr>
              <w:pStyle w:val="9"/>
              <w:widowControl w:val="0"/>
              <w:spacing w:beforeAutospacing="0" w:afterAutospacing="0" w:line="5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7" w:type="pct"/>
            <w:vMerge w:val="continue"/>
            <w:noWrap w:val="0"/>
            <w:vAlign w:val="center"/>
          </w:tcPr>
          <w:p>
            <w:pPr>
              <w:widowControl w:val="0"/>
              <w:overflowPunct w:val="0"/>
              <w:spacing w:line="500" w:lineRule="exact"/>
              <w:jc w:val="both"/>
              <w:rPr>
                <w:rFonts w:ascii="仿宋_GB2312" w:hAnsi="仿宋_GB2312" w:eastAsia="仿宋_GB2312" w:cs="仿宋_GB2312"/>
                <w:sz w:val="28"/>
                <w:szCs w:val="28"/>
              </w:rPr>
            </w:pPr>
          </w:p>
        </w:tc>
        <w:tc>
          <w:tcPr>
            <w:tcW w:w="2296" w:type="pct"/>
            <w:noWrap w:val="0"/>
            <w:vAlign w:val="center"/>
          </w:tcPr>
          <w:p>
            <w:pPr>
              <w:pStyle w:val="9"/>
              <w:spacing w:beforeAutospacing="0" w:afterAutospacing="0" w:line="500" w:lineRule="exact"/>
              <w:jc w:val="both"/>
              <w:rPr>
                <w:rFonts w:hint="eastAsia" w:ascii="仿宋_GB2312" w:eastAsia="仿宋_GB2312"/>
                <w:sz w:val="28"/>
                <w:szCs w:val="28"/>
              </w:rPr>
            </w:pPr>
            <w:r>
              <w:rPr>
                <w:rFonts w:hint="eastAsia" w:ascii="仿宋_GB2312" w:eastAsia="仿宋_GB2312"/>
                <w:sz w:val="28"/>
                <w:szCs w:val="28"/>
              </w:rPr>
              <w:t>4.补充指标</w:t>
            </w:r>
          </w:p>
        </w:tc>
        <w:tc>
          <w:tcPr>
            <w:tcW w:w="878" w:type="pct"/>
            <w:vMerge w:val="continue"/>
            <w:noWrap w:val="0"/>
            <w:vAlign w:val="center"/>
          </w:tcPr>
          <w:p>
            <w:pPr>
              <w:pStyle w:val="9"/>
              <w:spacing w:beforeAutospacing="0" w:afterAutospacing="0" w:line="500" w:lineRule="exact"/>
              <w:jc w:val="center"/>
              <w:rPr>
                <w:rFonts w:hint="eastAsia" w:ascii="仿宋_GB2312" w:hAnsi="仿宋_GB2312" w:eastAsia="仿宋_GB2312" w:cs="仿宋_GB2312"/>
                <w:color w:val="000000"/>
                <w:sz w:val="28"/>
                <w:szCs w:val="28"/>
              </w:rPr>
            </w:pPr>
          </w:p>
        </w:tc>
        <w:tc>
          <w:tcPr>
            <w:tcW w:w="809" w:type="pct"/>
            <w:noWrap w:val="0"/>
            <w:vAlign w:val="top"/>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7" w:type="pct"/>
            <w:vMerge w:val="restart"/>
            <w:noWrap w:val="0"/>
            <w:vAlign w:val="center"/>
          </w:tcPr>
          <w:p>
            <w:pPr>
              <w:widowControl w:val="0"/>
              <w:overflowPunct w:val="0"/>
              <w:spacing w:line="5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二、业务层面内部控制</w:t>
            </w:r>
          </w:p>
        </w:tc>
        <w:tc>
          <w:tcPr>
            <w:tcW w:w="2296" w:type="pct"/>
            <w:noWrap w:val="0"/>
            <w:vAlign w:val="center"/>
          </w:tcPr>
          <w:p>
            <w:pPr>
              <w:pStyle w:val="9"/>
              <w:spacing w:beforeAutospacing="0" w:afterAutospacing="0" w:line="500" w:lineRule="exact"/>
              <w:jc w:val="both"/>
              <w:rPr>
                <w:rFonts w:hint="eastAsia" w:ascii="仿宋_GB2312" w:hAnsi="仿宋_GB2312" w:eastAsia="仿宋_GB2312" w:cs="仿宋_GB2312"/>
                <w:sz w:val="28"/>
                <w:szCs w:val="28"/>
              </w:rPr>
            </w:pPr>
            <w:r>
              <w:rPr>
                <w:rFonts w:hint="eastAsia" w:ascii="仿宋_GB2312" w:eastAsia="仿宋_GB2312"/>
                <w:sz w:val="28"/>
                <w:szCs w:val="28"/>
              </w:rPr>
              <w:t>5.预算业务内部控制</w:t>
            </w:r>
          </w:p>
        </w:tc>
        <w:tc>
          <w:tcPr>
            <w:tcW w:w="878" w:type="pct"/>
            <w:vMerge w:val="restart"/>
            <w:noWrap w:val="0"/>
            <w:vAlign w:val="center"/>
          </w:tcPr>
          <w:p>
            <w:pPr>
              <w:widowControl w:val="0"/>
              <w:jc w:val="both"/>
            </w:pPr>
          </w:p>
          <w:p>
            <w:pPr>
              <w:widowControl w:val="0"/>
              <w:jc w:val="both"/>
            </w:pPr>
          </w:p>
          <w:p>
            <w:pPr>
              <w:pStyle w:val="9"/>
              <w:spacing w:beforeAutospacing="0" w:afterAutospacing="0" w:line="5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75</w:t>
            </w:r>
          </w:p>
        </w:tc>
        <w:tc>
          <w:tcPr>
            <w:tcW w:w="809" w:type="pct"/>
            <w:noWrap w:val="0"/>
            <w:vAlign w:val="top"/>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7" w:type="pct"/>
            <w:vMerge w:val="continue"/>
            <w:noWrap w:val="0"/>
            <w:vAlign w:val="center"/>
          </w:tcPr>
          <w:p>
            <w:pPr>
              <w:widowControl w:val="0"/>
              <w:overflowPunct w:val="0"/>
              <w:spacing w:line="500" w:lineRule="exact"/>
              <w:jc w:val="both"/>
              <w:rPr>
                <w:rFonts w:ascii="仿宋_GB2312" w:hAnsi="仿宋_GB2312" w:eastAsia="仿宋_GB2312" w:cs="仿宋_GB2312"/>
                <w:sz w:val="28"/>
                <w:szCs w:val="28"/>
              </w:rPr>
            </w:pPr>
          </w:p>
        </w:tc>
        <w:tc>
          <w:tcPr>
            <w:tcW w:w="2296" w:type="pct"/>
            <w:noWrap w:val="0"/>
            <w:vAlign w:val="center"/>
          </w:tcPr>
          <w:p>
            <w:pPr>
              <w:pStyle w:val="9"/>
              <w:spacing w:beforeAutospacing="0" w:afterAutospacing="0" w:line="500" w:lineRule="exact"/>
              <w:jc w:val="both"/>
              <w:rPr>
                <w:rFonts w:hint="eastAsia" w:ascii="仿宋_GB2312" w:hAnsi="仿宋_GB2312" w:eastAsia="仿宋_GB2312" w:cs="仿宋_GB2312"/>
                <w:sz w:val="28"/>
                <w:szCs w:val="28"/>
              </w:rPr>
            </w:pPr>
            <w:r>
              <w:rPr>
                <w:rFonts w:hint="eastAsia" w:ascii="仿宋_GB2312" w:eastAsia="仿宋_GB2312"/>
                <w:sz w:val="28"/>
                <w:szCs w:val="28"/>
              </w:rPr>
              <w:t>6.收支业务内部控制</w:t>
            </w:r>
          </w:p>
        </w:tc>
        <w:tc>
          <w:tcPr>
            <w:tcW w:w="878" w:type="pct"/>
            <w:vMerge w:val="continue"/>
            <w:noWrap w:val="0"/>
            <w:vAlign w:val="center"/>
          </w:tcPr>
          <w:p>
            <w:pPr>
              <w:pStyle w:val="9"/>
              <w:spacing w:beforeAutospacing="0" w:afterAutospacing="0" w:line="500" w:lineRule="exact"/>
              <w:jc w:val="center"/>
              <w:rPr>
                <w:rFonts w:ascii="仿宋_GB2312" w:hAnsi="仿宋_GB2312" w:eastAsia="仿宋_GB2312" w:cs="仿宋_GB2312"/>
                <w:color w:val="000000"/>
                <w:sz w:val="28"/>
                <w:szCs w:val="28"/>
              </w:rPr>
            </w:pPr>
          </w:p>
        </w:tc>
        <w:tc>
          <w:tcPr>
            <w:tcW w:w="809" w:type="pct"/>
            <w:noWrap w:val="0"/>
            <w:vAlign w:val="top"/>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7" w:type="pct"/>
            <w:vMerge w:val="continue"/>
            <w:noWrap w:val="0"/>
            <w:vAlign w:val="center"/>
          </w:tcPr>
          <w:p>
            <w:pPr>
              <w:widowControl w:val="0"/>
              <w:overflowPunct w:val="0"/>
              <w:spacing w:line="500" w:lineRule="exact"/>
              <w:jc w:val="both"/>
              <w:rPr>
                <w:rFonts w:ascii="仿宋_GB2312" w:hAnsi="仿宋_GB2312" w:eastAsia="仿宋_GB2312" w:cs="仿宋_GB2312"/>
                <w:sz w:val="28"/>
                <w:szCs w:val="28"/>
              </w:rPr>
            </w:pPr>
          </w:p>
        </w:tc>
        <w:tc>
          <w:tcPr>
            <w:tcW w:w="2296" w:type="pct"/>
            <w:noWrap w:val="0"/>
            <w:vAlign w:val="center"/>
          </w:tcPr>
          <w:p>
            <w:pPr>
              <w:pStyle w:val="9"/>
              <w:spacing w:beforeAutospacing="0" w:afterAutospacing="0" w:line="500" w:lineRule="exact"/>
              <w:jc w:val="both"/>
              <w:rPr>
                <w:rFonts w:ascii="仿宋_GB2312" w:eastAsia="仿宋_GB2312"/>
                <w:sz w:val="28"/>
                <w:szCs w:val="28"/>
              </w:rPr>
            </w:pPr>
            <w:r>
              <w:rPr>
                <w:rFonts w:hint="eastAsia" w:ascii="仿宋_GB2312" w:eastAsia="仿宋_GB2312"/>
                <w:sz w:val="28"/>
                <w:szCs w:val="28"/>
              </w:rPr>
              <w:t>7.政府采购业务内部控制</w:t>
            </w:r>
          </w:p>
        </w:tc>
        <w:tc>
          <w:tcPr>
            <w:tcW w:w="878" w:type="pct"/>
            <w:vMerge w:val="continue"/>
            <w:noWrap w:val="0"/>
            <w:vAlign w:val="center"/>
          </w:tcPr>
          <w:p>
            <w:pPr>
              <w:pStyle w:val="9"/>
              <w:spacing w:beforeAutospacing="0" w:afterAutospacing="0" w:line="500" w:lineRule="exact"/>
              <w:jc w:val="center"/>
              <w:rPr>
                <w:rFonts w:ascii="仿宋_GB2312" w:hAnsi="仿宋_GB2312" w:eastAsia="仿宋_GB2312" w:cs="仿宋_GB2312"/>
                <w:color w:val="000000"/>
                <w:sz w:val="28"/>
                <w:szCs w:val="28"/>
              </w:rPr>
            </w:pPr>
          </w:p>
        </w:tc>
        <w:tc>
          <w:tcPr>
            <w:tcW w:w="809" w:type="pct"/>
            <w:noWrap w:val="0"/>
            <w:vAlign w:val="top"/>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7" w:type="pct"/>
            <w:vMerge w:val="continue"/>
            <w:noWrap w:val="0"/>
            <w:vAlign w:val="center"/>
          </w:tcPr>
          <w:p>
            <w:pPr>
              <w:widowControl w:val="0"/>
              <w:overflowPunct w:val="0"/>
              <w:spacing w:line="500" w:lineRule="exact"/>
              <w:jc w:val="both"/>
              <w:rPr>
                <w:rFonts w:ascii="仿宋_GB2312" w:hAnsi="仿宋_GB2312" w:eastAsia="仿宋_GB2312" w:cs="仿宋_GB2312"/>
                <w:sz w:val="28"/>
                <w:szCs w:val="28"/>
              </w:rPr>
            </w:pPr>
          </w:p>
        </w:tc>
        <w:tc>
          <w:tcPr>
            <w:tcW w:w="2296" w:type="pct"/>
            <w:noWrap w:val="0"/>
            <w:vAlign w:val="center"/>
          </w:tcPr>
          <w:p>
            <w:pPr>
              <w:pStyle w:val="9"/>
              <w:spacing w:beforeAutospacing="0" w:afterAutospacing="0" w:line="500" w:lineRule="exact"/>
              <w:jc w:val="both"/>
              <w:rPr>
                <w:rFonts w:ascii="仿宋_GB2312" w:eastAsia="仿宋_GB2312"/>
                <w:sz w:val="28"/>
                <w:szCs w:val="28"/>
              </w:rPr>
            </w:pPr>
            <w:r>
              <w:rPr>
                <w:rFonts w:hint="eastAsia" w:ascii="仿宋_GB2312" w:eastAsia="仿宋_GB2312"/>
                <w:sz w:val="28"/>
                <w:szCs w:val="28"/>
              </w:rPr>
              <w:t>8.资产业务内部控制</w:t>
            </w:r>
          </w:p>
        </w:tc>
        <w:tc>
          <w:tcPr>
            <w:tcW w:w="878" w:type="pct"/>
            <w:vMerge w:val="continue"/>
            <w:noWrap w:val="0"/>
            <w:vAlign w:val="center"/>
          </w:tcPr>
          <w:p>
            <w:pPr>
              <w:pStyle w:val="9"/>
              <w:spacing w:beforeAutospacing="0" w:afterAutospacing="0" w:line="500" w:lineRule="exact"/>
              <w:jc w:val="center"/>
              <w:rPr>
                <w:rFonts w:ascii="仿宋_GB2312" w:hAnsi="仿宋_GB2312" w:eastAsia="仿宋_GB2312" w:cs="仿宋_GB2312"/>
                <w:color w:val="000000"/>
                <w:sz w:val="28"/>
                <w:szCs w:val="28"/>
              </w:rPr>
            </w:pPr>
          </w:p>
        </w:tc>
        <w:tc>
          <w:tcPr>
            <w:tcW w:w="809" w:type="pct"/>
            <w:noWrap w:val="0"/>
            <w:vAlign w:val="top"/>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7" w:type="pct"/>
            <w:vMerge w:val="continue"/>
            <w:noWrap w:val="0"/>
            <w:vAlign w:val="center"/>
          </w:tcPr>
          <w:p>
            <w:pPr>
              <w:widowControl w:val="0"/>
              <w:overflowPunct w:val="0"/>
              <w:spacing w:line="500" w:lineRule="exact"/>
              <w:jc w:val="both"/>
              <w:rPr>
                <w:rFonts w:ascii="仿宋_GB2312" w:hAnsi="仿宋_GB2312" w:eastAsia="仿宋_GB2312" w:cs="仿宋_GB2312"/>
                <w:sz w:val="28"/>
                <w:szCs w:val="28"/>
              </w:rPr>
            </w:pPr>
          </w:p>
        </w:tc>
        <w:tc>
          <w:tcPr>
            <w:tcW w:w="2296" w:type="pct"/>
            <w:noWrap w:val="0"/>
            <w:vAlign w:val="center"/>
          </w:tcPr>
          <w:p>
            <w:pPr>
              <w:pStyle w:val="9"/>
              <w:spacing w:beforeAutospacing="0" w:afterAutospacing="0" w:line="500" w:lineRule="exact"/>
              <w:jc w:val="both"/>
              <w:rPr>
                <w:rFonts w:ascii="仿宋_GB2312" w:eastAsia="仿宋_GB2312"/>
                <w:sz w:val="28"/>
                <w:szCs w:val="28"/>
              </w:rPr>
            </w:pPr>
            <w:r>
              <w:rPr>
                <w:rFonts w:hint="eastAsia" w:ascii="仿宋_GB2312" w:eastAsia="仿宋_GB2312"/>
                <w:sz w:val="28"/>
                <w:szCs w:val="28"/>
              </w:rPr>
              <w:t>9.建设项目内部控制</w:t>
            </w:r>
          </w:p>
        </w:tc>
        <w:tc>
          <w:tcPr>
            <w:tcW w:w="878" w:type="pct"/>
            <w:vMerge w:val="continue"/>
            <w:noWrap w:val="0"/>
            <w:vAlign w:val="center"/>
          </w:tcPr>
          <w:p>
            <w:pPr>
              <w:pStyle w:val="9"/>
              <w:spacing w:beforeAutospacing="0" w:afterAutospacing="0" w:line="500" w:lineRule="exact"/>
              <w:jc w:val="center"/>
              <w:rPr>
                <w:rFonts w:ascii="仿宋_GB2312" w:hAnsi="仿宋_GB2312" w:eastAsia="仿宋_GB2312" w:cs="仿宋_GB2312"/>
                <w:color w:val="000000"/>
                <w:sz w:val="28"/>
                <w:szCs w:val="28"/>
              </w:rPr>
            </w:pPr>
          </w:p>
        </w:tc>
        <w:tc>
          <w:tcPr>
            <w:tcW w:w="809" w:type="pct"/>
            <w:noWrap w:val="0"/>
            <w:vAlign w:val="top"/>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7" w:type="pct"/>
            <w:vMerge w:val="continue"/>
            <w:noWrap w:val="0"/>
            <w:vAlign w:val="center"/>
          </w:tcPr>
          <w:p>
            <w:pPr>
              <w:widowControl w:val="0"/>
              <w:overflowPunct w:val="0"/>
              <w:spacing w:line="500" w:lineRule="exact"/>
              <w:jc w:val="both"/>
              <w:rPr>
                <w:rFonts w:ascii="仿宋_GB2312" w:hAnsi="仿宋_GB2312" w:eastAsia="仿宋_GB2312" w:cs="仿宋_GB2312"/>
                <w:sz w:val="28"/>
                <w:szCs w:val="28"/>
              </w:rPr>
            </w:pPr>
          </w:p>
        </w:tc>
        <w:tc>
          <w:tcPr>
            <w:tcW w:w="2296" w:type="pct"/>
            <w:noWrap w:val="0"/>
            <w:vAlign w:val="center"/>
          </w:tcPr>
          <w:p>
            <w:pPr>
              <w:pStyle w:val="9"/>
              <w:spacing w:beforeAutospacing="0" w:afterAutospacing="0" w:line="500" w:lineRule="exact"/>
              <w:jc w:val="both"/>
              <w:rPr>
                <w:rFonts w:ascii="仿宋_GB2312" w:eastAsia="仿宋_GB2312"/>
                <w:sz w:val="28"/>
                <w:szCs w:val="28"/>
              </w:rPr>
            </w:pPr>
            <w:r>
              <w:rPr>
                <w:rFonts w:hint="eastAsia" w:ascii="仿宋_GB2312" w:eastAsia="仿宋_GB2312"/>
                <w:sz w:val="28"/>
                <w:szCs w:val="28"/>
              </w:rPr>
              <w:t>10.合同管理内部控制</w:t>
            </w:r>
          </w:p>
        </w:tc>
        <w:tc>
          <w:tcPr>
            <w:tcW w:w="878" w:type="pct"/>
            <w:vMerge w:val="continue"/>
            <w:noWrap w:val="0"/>
            <w:vAlign w:val="center"/>
          </w:tcPr>
          <w:p>
            <w:pPr>
              <w:pStyle w:val="9"/>
              <w:spacing w:beforeAutospacing="0" w:afterAutospacing="0" w:line="500" w:lineRule="exact"/>
              <w:jc w:val="center"/>
              <w:rPr>
                <w:rFonts w:ascii="仿宋_GB2312" w:hAnsi="仿宋_GB2312" w:eastAsia="仿宋_GB2312" w:cs="仿宋_GB2312"/>
                <w:color w:val="000000"/>
                <w:sz w:val="28"/>
                <w:szCs w:val="28"/>
              </w:rPr>
            </w:pPr>
          </w:p>
        </w:tc>
        <w:tc>
          <w:tcPr>
            <w:tcW w:w="809" w:type="pct"/>
            <w:noWrap w:val="0"/>
            <w:vAlign w:val="top"/>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7" w:type="pct"/>
            <w:vMerge w:val="continue"/>
            <w:noWrap w:val="0"/>
            <w:vAlign w:val="center"/>
          </w:tcPr>
          <w:p>
            <w:pPr>
              <w:widowControl w:val="0"/>
              <w:overflowPunct w:val="0"/>
              <w:spacing w:line="500" w:lineRule="exact"/>
              <w:jc w:val="both"/>
              <w:rPr>
                <w:rFonts w:ascii="仿宋_GB2312" w:hAnsi="仿宋_GB2312" w:eastAsia="仿宋_GB2312" w:cs="仿宋_GB2312"/>
                <w:sz w:val="28"/>
                <w:szCs w:val="28"/>
              </w:rPr>
            </w:pPr>
          </w:p>
        </w:tc>
        <w:tc>
          <w:tcPr>
            <w:tcW w:w="2296" w:type="pct"/>
            <w:noWrap w:val="0"/>
            <w:vAlign w:val="center"/>
          </w:tcPr>
          <w:p>
            <w:pPr>
              <w:pStyle w:val="9"/>
              <w:spacing w:beforeAutospacing="0" w:afterAutospacing="0" w:line="500" w:lineRule="exact"/>
              <w:jc w:val="both"/>
              <w:rPr>
                <w:rFonts w:ascii="仿宋_GB2312" w:eastAsia="仿宋_GB2312"/>
                <w:sz w:val="28"/>
                <w:szCs w:val="28"/>
              </w:rPr>
            </w:pPr>
            <w:r>
              <w:rPr>
                <w:rFonts w:hint="eastAsia" w:ascii="仿宋_GB2312" w:eastAsia="仿宋_GB2312"/>
                <w:sz w:val="28"/>
                <w:szCs w:val="28"/>
              </w:rPr>
              <w:t>11.其他业务内部控制</w:t>
            </w:r>
          </w:p>
        </w:tc>
        <w:tc>
          <w:tcPr>
            <w:tcW w:w="878" w:type="pct"/>
            <w:vMerge w:val="continue"/>
            <w:noWrap w:val="0"/>
            <w:vAlign w:val="center"/>
          </w:tcPr>
          <w:p>
            <w:pPr>
              <w:pStyle w:val="9"/>
              <w:spacing w:beforeAutospacing="0" w:afterAutospacing="0" w:line="500" w:lineRule="exact"/>
              <w:jc w:val="center"/>
              <w:rPr>
                <w:rFonts w:ascii="仿宋_GB2312" w:hAnsi="仿宋_GB2312" w:eastAsia="仿宋_GB2312" w:cs="仿宋_GB2312"/>
                <w:color w:val="000000"/>
                <w:sz w:val="28"/>
                <w:szCs w:val="28"/>
              </w:rPr>
            </w:pPr>
          </w:p>
        </w:tc>
        <w:tc>
          <w:tcPr>
            <w:tcW w:w="809" w:type="pct"/>
            <w:noWrap w:val="0"/>
            <w:vAlign w:val="top"/>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7" w:type="pct"/>
            <w:vMerge w:val="restart"/>
            <w:noWrap w:val="0"/>
            <w:vAlign w:val="center"/>
          </w:tcPr>
          <w:p>
            <w:pPr>
              <w:widowControl w:val="0"/>
              <w:overflowPunct w:val="0"/>
              <w:spacing w:line="5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三、内部监督</w:t>
            </w:r>
          </w:p>
        </w:tc>
        <w:tc>
          <w:tcPr>
            <w:tcW w:w="2296" w:type="pct"/>
            <w:noWrap w:val="0"/>
            <w:vAlign w:val="center"/>
          </w:tcPr>
          <w:p>
            <w:pPr>
              <w:pStyle w:val="9"/>
              <w:spacing w:beforeAutospacing="0" w:afterAutospacing="0" w:line="500" w:lineRule="exact"/>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12.内部监督机制建立情况</w:t>
            </w:r>
          </w:p>
        </w:tc>
        <w:tc>
          <w:tcPr>
            <w:tcW w:w="878" w:type="pct"/>
            <w:vMerge w:val="restart"/>
            <w:noWrap w:val="0"/>
            <w:vAlign w:val="center"/>
          </w:tcPr>
          <w:p>
            <w:pPr>
              <w:pStyle w:val="9"/>
              <w:spacing w:beforeAutospacing="0" w:afterAutospacing="0" w:line="5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p>
        </w:tc>
        <w:tc>
          <w:tcPr>
            <w:tcW w:w="809" w:type="pct"/>
            <w:noWrap w:val="0"/>
            <w:vAlign w:val="top"/>
          </w:tcPr>
          <w:p>
            <w:pPr>
              <w:pStyle w:val="9"/>
              <w:widowControl w:val="0"/>
              <w:spacing w:beforeAutospacing="0" w:afterAutospacing="0" w:line="5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7" w:type="pct"/>
            <w:vMerge w:val="continue"/>
            <w:noWrap w:val="0"/>
            <w:vAlign w:val="center"/>
          </w:tcPr>
          <w:p>
            <w:pPr>
              <w:widowControl w:val="0"/>
              <w:overflowPunct w:val="0"/>
              <w:spacing w:line="500" w:lineRule="exact"/>
              <w:jc w:val="both"/>
              <w:rPr>
                <w:rFonts w:ascii="仿宋_GB2312" w:hAnsi="仿宋_GB2312" w:eastAsia="仿宋_GB2312" w:cs="仿宋_GB2312"/>
                <w:sz w:val="28"/>
                <w:szCs w:val="28"/>
              </w:rPr>
            </w:pPr>
          </w:p>
        </w:tc>
        <w:tc>
          <w:tcPr>
            <w:tcW w:w="2296" w:type="pct"/>
            <w:noWrap w:val="0"/>
            <w:vAlign w:val="center"/>
          </w:tcPr>
          <w:p>
            <w:pPr>
              <w:pStyle w:val="9"/>
              <w:spacing w:beforeAutospacing="0" w:afterAutospacing="0" w:line="500" w:lineRule="exact"/>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13.内部监督机制实施情况</w:t>
            </w:r>
          </w:p>
        </w:tc>
        <w:tc>
          <w:tcPr>
            <w:tcW w:w="878" w:type="pct"/>
            <w:vMerge w:val="continue"/>
            <w:noWrap w:val="0"/>
            <w:vAlign w:val="center"/>
          </w:tcPr>
          <w:p>
            <w:pPr>
              <w:pStyle w:val="9"/>
              <w:spacing w:beforeAutospacing="0" w:afterAutospacing="0" w:line="500" w:lineRule="exact"/>
              <w:jc w:val="center"/>
              <w:rPr>
                <w:rFonts w:ascii="仿宋_GB2312" w:hAnsi="仿宋_GB2312" w:eastAsia="仿宋_GB2312" w:cs="仿宋_GB2312"/>
                <w:color w:val="000000"/>
                <w:sz w:val="28"/>
                <w:szCs w:val="28"/>
              </w:rPr>
            </w:pPr>
          </w:p>
        </w:tc>
        <w:tc>
          <w:tcPr>
            <w:tcW w:w="809" w:type="pct"/>
            <w:noWrap w:val="0"/>
            <w:vAlign w:val="top"/>
          </w:tcPr>
          <w:p>
            <w:pPr>
              <w:pStyle w:val="9"/>
              <w:widowControl w:val="0"/>
              <w:spacing w:beforeAutospacing="0" w:afterAutospacing="0" w:line="5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13" w:type="pct"/>
            <w:gridSpan w:val="2"/>
            <w:noWrap w:val="0"/>
            <w:vAlign w:val="center"/>
          </w:tcPr>
          <w:p>
            <w:pPr>
              <w:pStyle w:val="9"/>
              <w:spacing w:beforeAutospacing="0" w:afterAutospacing="0" w:line="5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其他情况</w:t>
            </w:r>
          </w:p>
        </w:tc>
        <w:tc>
          <w:tcPr>
            <w:tcW w:w="878" w:type="pct"/>
            <w:noWrap w:val="0"/>
            <w:vAlign w:val="center"/>
          </w:tcPr>
          <w:p>
            <w:pPr>
              <w:pStyle w:val="9"/>
              <w:spacing w:beforeAutospacing="0" w:afterAutospacing="0" w:line="500" w:lineRule="exact"/>
              <w:jc w:val="center"/>
              <w:rPr>
                <w:rFonts w:ascii="仿宋_GB2312" w:hAnsi="仿宋_GB2312" w:eastAsia="仿宋_GB2312" w:cs="仿宋_GB2312"/>
                <w:color w:val="000000"/>
                <w:sz w:val="28"/>
                <w:szCs w:val="28"/>
              </w:rPr>
            </w:pPr>
          </w:p>
        </w:tc>
        <w:tc>
          <w:tcPr>
            <w:tcW w:w="809" w:type="pct"/>
            <w:noWrap w:val="0"/>
            <w:vAlign w:val="top"/>
          </w:tcPr>
          <w:p>
            <w:pPr>
              <w:pStyle w:val="9"/>
              <w:widowControl w:val="0"/>
              <w:spacing w:beforeAutospacing="0" w:afterAutospacing="0" w:line="5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13" w:type="pct"/>
            <w:gridSpan w:val="2"/>
            <w:noWrap w:val="0"/>
            <w:vAlign w:val="center"/>
          </w:tcPr>
          <w:p>
            <w:pPr>
              <w:pStyle w:val="9"/>
              <w:widowControl w:val="0"/>
              <w:spacing w:beforeAutospacing="0" w:afterAutospacing="0" w:line="50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sz w:val="28"/>
                <w:szCs w:val="28"/>
              </w:rPr>
              <w:t>合计</w:t>
            </w:r>
          </w:p>
        </w:tc>
        <w:tc>
          <w:tcPr>
            <w:tcW w:w="878" w:type="pct"/>
            <w:noWrap w:val="0"/>
            <w:vAlign w:val="center"/>
          </w:tcPr>
          <w:p>
            <w:pPr>
              <w:pStyle w:val="9"/>
              <w:widowControl w:val="0"/>
              <w:spacing w:beforeAutospacing="0" w:afterAutospacing="0" w:line="50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100</w:t>
            </w:r>
          </w:p>
        </w:tc>
        <w:tc>
          <w:tcPr>
            <w:tcW w:w="809" w:type="pct"/>
            <w:noWrap w:val="0"/>
            <w:vAlign w:val="top"/>
          </w:tcPr>
          <w:p>
            <w:pPr>
              <w:pStyle w:val="9"/>
              <w:widowControl w:val="0"/>
              <w:spacing w:beforeAutospacing="0" w:afterAutospacing="0" w:line="500" w:lineRule="exact"/>
              <w:jc w:val="center"/>
              <w:rPr>
                <w:rFonts w:hint="eastAsia" w:ascii="仿宋_GB2312" w:hAnsi="仿宋_GB2312" w:eastAsia="仿宋_GB2312" w:cs="仿宋_GB2312"/>
                <w:b/>
                <w:bCs/>
                <w:color w:val="000000"/>
                <w:sz w:val="28"/>
                <w:szCs w:val="28"/>
              </w:rPr>
            </w:pPr>
          </w:p>
        </w:tc>
      </w:tr>
    </w:tbl>
    <w:p>
      <w:pPr>
        <w:widowControl w:val="0"/>
        <w:autoSpaceDE w:val="0"/>
        <w:autoSpaceDN w:val="0"/>
        <w:spacing w:line="560" w:lineRule="exact"/>
        <w:ind w:firstLine="640" w:firstLineChars="200"/>
        <w:textAlignment w:val="baseline"/>
        <w:rPr>
          <w:rFonts w:hint="eastAsia" w:ascii="华文楷体" w:hAnsi="华文楷体" w:eastAsia="华文楷体" w:cs="华文楷体"/>
          <w:color w:val="000000"/>
          <w:sz w:val="32"/>
          <w:szCs w:val="32"/>
        </w:rPr>
      </w:pPr>
      <w:r>
        <w:rPr>
          <w:rFonts w:hint="eastAsia" w:ascii="华文楷体" w:hAnsi="华文楷体" w:eastAsia="华文楷体" w:cs="华文楷体"/>
          <w:color w:val="000000"/>
          <w:sz w:val="32"/>
          <w:szCs w:val="32"/>
        </w:rPr>
        <w:t>（二）评价结果认定</w:t>
      </w:r>
    </w:p>
    <w:p>
      <w:pPr>
        <w:widowControl w:val="0"/>
        <w:autoSpaceDE w:val="0"/>
        <w:autoSpaceDN w:val="0"/>
        <w:spacing w:line="560" w:lineRule="exact"/>
        <w:ind w:firstLine="640" w:firstLineChars="200"/>
        <w:textAlignment w:val="baseline"/>
        <w:rPr>
          <w:rFonts w:hint="eastAsia" w:ascii="仿宋_GB2312" w:hAnsi="黑体" w:eastAsia="仿宋_GB2312"/>
          <w:color w:val="000000"/>
          <w:sz w:val="32"/>
          <w:szCs w:val="32"/>
        </w:rPr>
      </w:pPr>
      <w:r>
        <w:rPr>
          <w:rFonts w:hint="eastAsia" w:ascii="仿宋_GB2312" w:hAnsi="黑体" w:eastAsia="仿宋_GB2312"/>
          <w:color w:val="000000"/>
          <w:sz w:val="32"/>
          <w:szCs w:val="32"/>
        </w:rPr>
        <w:t>1.评价周期内巡视、纪检监察、外部审计等□发现/□未发现与内部控制相关的违法违纪行为。</w:t>
      </w:r>
    </w:p>
    <w:p>
      <w:pPr>
        <w:widowControl w:val="0"/>
        <w:autoSpaceDE w:val="0"/>
        <w:autoSpaceDN w:val="0"/>
        <w:spacing w:line="560" w:lineRule="exact"/>
        <w:ind w:firstLine="640" w:firstLineChars="200"/>
        <w:textAlignment w:val="baseline"/>
        <w:rPr>
          <w:rFonts w:ascii="仿宋_GB2312" w:hAnsi="黑体" w:eastAsia="仿宋_GB2312"/>
          <w:color w:val="000000"/>
          <w:sz w:val="32"/>
          <w:szCs w:val="32"/>
        </w:rPr>
      </w:pPr>
      <w:r>
        <w:rPr>
          <w:rFonts w:hint="eastAsia" w:ascii="仿宋_GB2312" w:hAnsi="黑体" w:eastAsia="仿宋_GB2312"/>
          <w:color w:val="000000"/>
          <w:sz w:val="32"/>
          <w:szCs w:val="32"/>
        </w:rPr>
        <w:t>2.按照评价结果认定的有关标准，属于：</w:t>
      </w:r>
    </w:p>
    <w:p>
      <w:pPr>
        <w:widowControl w:val="0"/>
        <w:autoSpaceDE w:val="0"/>
        <w:autoSpaceDN w:val="0"/>
        <w:spacing w:line="560" w:lineRule="exact"/>
        <w:ind w:firstLine="640" w:firstLineChars="200"/>
        <w:textAlignment w:val="baseline"/>
        <w:rPr>
          <w:rFonts w:ascii="仿宋_GB2312" w:hAnsi="黑体" w:eastAsia="仿宋_GB2312"/>
          <w:color w:val="000000"/>
          <w:sz w:val="32"/>
          <w:szCs w:val="32"/>
        </w:rPr>
      </w:pPr>
      <w:r>
        <w:rPr>
          <w:rFonts w:hint="eastAsia" w:ascii="仿宋_GB2312" w:hAnsi="黑体" w:eastAsia="仿宋_GB2312"/>
          <w:color w:val="000000"/>
          <w:sz w:val="32"/>
          <w:szCs w:val="32"/>
        </w:rPr>
        <w:t>□优；□良；□中；□差。</w:t>
      </w:r>
    </w:p>
    <w:p>
      <w:pPr>
        <w:autoSpaceDE w:val="0"/>
        <w:autoSpaceDN w:val="0"/>
        <w:spacing w:line="560" w:lineRule="exact"/>
        <w:ind w:firstLine="560" w:firstLineChars="200"/>
        <w:textAlignment w:val="baseline"/>
        <w:rPr>
          <w:rFonts w:hint="eastAsia" w:ascii="仿宋_GB2312" w:eastAsia="仿宋_GB2312"/>
          <w:b/>
          <w:bCs/>
          <w:sz w:val="32"/>
          <w:szCs w:val="32"/>
        </w:rPr>
      </w:pPr>
      <w:r>
        <w:rPr>
          <w:rFonts w:hint="eastAsia" w:ascii="仿宋_GB2312" w:hAnsi="仿宋_GB2312" w:eastAsia="仿宋_GB2312"/>
          <w:color w:val="000000"/>
          <w:sz w:val="28"/>
          <w:szCs w:val="28"/>
        </w:rPr>
        <w:t>〔</w:t>
      </w:r>
      <w:r>
        <w:rPr>
          <w:rFonts w:hint="eastAsia" w:ascii="仿宋_GB2312" w:hAnsi="黑体" w:eastAsia="仿宋_GB2312"/>
          <w:color w:val="000000"/>
          <w:sz w:val="28"/>
          <w:szCs w:val="28"/>
        </w:rPr>
        <w:t>说明：</w:t>
      </w:r>
      <w:r>
        <w:rPr>
          <w:rFonts w:hint="eastAsia" w:ascii="仿宋_GB2312" w:hAnsi="仿宋_GB2312" w:eastAsia="仿宋_GB2312" w:cs="仿宋_GB2312"/>
          <w:sz w:val="28"/>
          <w:szCs w:val="28"/>
        </w:rPr>
        <w:t>90（含）-100分为“优”、80（含）-90分为“良”、60（含）-80分为“中”、60分以下为“差”</w:t>
      </w:r>
      <w:r>
        <w:rPr>
          <w:rFonts w:hint="eastAsia" w:ascii="仿宋_GB2312" w:hAnsi="黑体" w:eastAsia="仿宋_GB2312"/>
          <w:color w:val="000000"/>
          <w:sz w:val="28"/>
          <w:szCs w:val="28"/>
        </w:rPr>
        <w:t>。若单位</w:t>
      </w:r>
      <w:r>
        <w:rPr>
          <w:rFonts w:hint="eastAsia" w:ascii="仿宋_GB2312" w:hAnsi="仿宋_GB2312" w:eastAsia="仿宋_GB2312" w:cs="仿宋_GB2312"/>
          <w:sz w:val="28"/>
          <w:szCs w:val="28"/>
        </w:rPr>
        <w:t>存在与内部控制相关的违法违纪行为的，则单位内部控制评价结果下调一档次。</w:t>
      </w:r>
      <w:r>
        <w:rPr>
          <w:rFonts w:hint="eastAsia" w:ascii="仿宋_GB2312" w:hAnsi="仿宋_GB2312" w:eastAsia="仿宋_GB2312"/>
          <w:color w:val="000000"/>
          <w:sz w:val="28"/>
          <w:szCs w:val="28"/>
        </w:rPr>
        <w:t>〕</w:t>
      </w:r>
    </w:p>
    <w:p>
      <w:pPr>
        <w:pStyle w:val="15"/>
        <w:numPr>
          <w:ilvl w:val="0"/>
          <w:numId w:val="6"/>
        </w:numPr>
        <w:ind w:firstLine="642" w:firstLineChars="200"/>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内部控制自我评价发现问题及问题整改</w:t>
      </w:r>
    </w:p>
    <w:p>
      <w:pPr>
        <w:widowControl w:val="0"/>
        <w:autoSpaceDE w:val="0"/>
        <w:autoSpaceDN w:val="0"/>
        <w:spacing w:line="560" w:lineRule="exact"/>
        <w:ind w:firstLine="560" w:firstLineChars="200"/>
        <w:textAlignment w:val="baseline"/>
        <w:rPr>
          <w:rFonts w:hint="eastAsia" w:ascii="仿宋_GB2312" w:hAnsi="黑体" w:eastAsia="仿宋_GB2312"/>
          <w:color w:val="000000"/>
          <w:sz w:val="28"/>
          <w:szCs w:val="28"/>
          <w:highlight w:val="yellow"/>
        </w:rPr>
      </w:pPr>
      <w:r>
        <w:rPr>
          <w:rFonts w:hint="eastAsia" w:ascii="仿宋_GB2312" w:hAnsi="仿宋_GB2312" w:eastAsia="仿宋_GB2312"/>
          <w:color w:val="000000"/>
          <w:sz w:val="28"/>
          <w:szCs w:val="28"/>
        </w:rPr>
        <w:t>〔</w:t>
      </w:r>
      <w:r>
        <w:rPr>
          <w:rFonts w:hint="eastAsia" w:ascii="仿宋_GB2312" w:hAnsi="楷体" w:eastAsia="仿宋_GB2312"/>
          <w:color w:val="000000"/>
          <w:sz w:val="28"/>
          <w:szCs w:val="28"/>
        </w:rPr>
        <w:t>逐项列示评价发现的问题情况及整改情况，以下表格可单独作为附件报送。</w:t>
      </w:r>
      <w:r>
        <w:rPr>
          <w:rFonts w:hint="eastAsia" w:ascii="仿宋_GB2312" w:hAnsi="仿宋_GB2312" w:eastAsia="仿宋_GB2312"/>
          <w:color w:val="000000"/>
          <w:sz w:val="28"/>
          <w:szCs w:val="28"/>
        </w:rPr>
        <w:t>〕</w:t>
      </w:r>
    </w:p>
    <w:tbl>
      <w:tblPr>
        <w:tblStyle w:val="10"/>
        <w:tblW w:w="59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1658"/>
        <w:gridCol w:w="1912"/>
        <w:gridCol w:w="1676"/>
        <w:gridCol w:w="1995"/>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37" w:type="pct"/>
            <w:noWrap w:val="0"/>
            <w:vAlign w:val="center"/>
          </w:tcPr>
          <w:p>
            <w:pPr>
              <w:widowControl w:val="0"/>
              <w:overflowPunct w:val="0"/>
              <w:spacing w:line="5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817" w:type="pct"/>
            <w:noWrap w:val="0"/>
            <w:vAlign w:val="center"/>
          </w:tcPr>
          <w:p>
            <w:pPr>
              <w:widowControl w:val="0"/>
              <w:overflowPunct w:val="0"/>
              <w:spacing w:line="500" w:lineRule="exact"/>
              <w:jc w:val="center"/>
              <w:rPr>
                <w:rFonts w:ascii="仿宋_GB2312" w:hAnsi="仿宋_GB2312" w:eastAsia="仿宋_GB2312" w:cs="仿宋_GB2312"/>
                <w:b/>
                <w:bCs/>
                <w:kern w:val="2"/>
                <w:sz w:val="28"/>
                <w:szCs w:val="28"/>
              </w:rPr>
            </w:pPr>
            <w:r>
              <w:rPr>
                <w:rFonts w:hint="eastAsia" w:ascii="仿宋_GB2312" w:hAnsi="仿宋_GB2312" w:eastAsia="仿宋_GB2312" w:cs="仿宋_GB2312"/>
                <w:b/>
                <w:bCs/>
                <w:sz w:val="28"/>
                <w:szCs w:val="28"/>
              </w:rPr>
              <w:t>问题描述</w:t>
            </w:r>
          </w:p>
        </w:tc>
        <w:tc>
          <w:tcPr>
            <w:tcW w:w="1912" w:type="dxa"/>
            <w:noWrap w:val="0"/>
            <w:vAlign w:val="center"/>
          </w:tcPr>
          <w:p>
            <w:pPr>
              <w:widowControl w:val="0"/>
              <w:overflowPunct w:val="0"/>
              <w:spacing w:line="500" w:lineRule="exact"/>
              <w:jc w:val="center"/>
              <w:rPr>
                <w:rFonts w:ascii="仿宋_GB2312" w:hAnsi="仿宋_GB2312" w:eastAsia="仿宋_GB2312" w:cs="仿宋_GB2312"/>
                <w:b/>
                <w:bCs/>
                <w:kern w:val="2"/>
                <w:sz w:val="28"/>
                <w:szCs w:val="28"/>
              </w:rPr>
            </w:pPr>
            <w:r>
              <w:rPr>
                <w:rFonts w:hint="eastAsia" w:ascii="仿宋_GB2312" w:hAnsi="仿宋_GB2312" w:eastAsia="仿宋_GB2312" w:cs="仿宋_GB2312"/>
                <w:b/>
                <w:bCs/>
                <w:sz w:val="28"/>
                <w:szCs w:val="28"/>
              </w:rPr>
              <w:t>认定依据</w:t>
            </w:r>
          </w:p>
        </w:tc>
        <w:tc>
          <w:tcPr>
            <w:tcW w:w="1676" w:type="dxa"/>
            <w:noWrap w:val="0"/>
            <w:vAlign w:val="center"/>
          </w:tcPr>
          <w:p>
            <w:pPr>
              <w:widowControl w:val="0"/>
              <w:overflowPunct w:val="0"/>
              <w:spacing w:line="500" w:lineRule="exact"/>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sz w:val="28"/>
                <w:szCs w:val="28"/>
              </w:rPr>
              <w:t>整改措施</w:t>
            </w:r>
          </w:p>
        </w:tc>
        <w:tc>
          <w:tcPr>
            <w:tcW w:w="1995" w:type="dxa"/>
            <w:noWrap w:val="0"/>
            <w:vAlign w:val="top"/>
          </w:tcPr>
          <w:p>
            <w:pPr>
              <w:widowControl w:val="0"/>
              <w:overflowPunct w:val="0"/>
              <w:spacing w:line="500" w:lineRule="exact"/>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sz w:val="28"/>
                <w:szCs w:val="28"/>
              </w:rPr>
              <w:t>计划完成时间</w:t>
            </w:r>
          </w:p>
        </w:tc>
        <w:tc>
          <w:tcPr>
            <w:tcW w:w="991" w:type="pct"/>
            <w:noWrap w:val="0"/>
            <w:vAlign w:val="top"/>
          </w:tcPr>
          <w:p>
            <w:pPr>
              <w:widowControl w:val="0"/>
              <w:overflowPunct w:val="0"/>
              <w:spacing w:line="500" w:lineRule="exact"/>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sz w:val="28"/>
                <w:szCs w:val="28"/>
              </w:rPr>
              <w:t>整改完成情况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pPr>
              <w:pStyle w:val="9"/>
              <w:widowControl w:val="0"/>
              <w:spacing w:beforeAutospacing="0" w:afterAutospacing="0" w:line="5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817" w:type="pct"/>
            <w:noWrap w:val="0"/>
            <w:vAlign w:val="center"/>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c>
          <w:tcPr>
            <w:tcW w:w="942" w:type="pct"/>
            <w:noWrap w:val="0"/>
            <w:vAlign w:val="top"/>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c>
          <w:tcPr>
            <w:tcW w:w="826" w:type="pct"/>
            <w:noWrap w:val="0"/>
            <w:vAlign w:val="center"/>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c>
          <w:tcPr>
            <w:tcW w:w="983" w:type="pct"/>
            <w:noWrap w:val="0"/>
            <w:vAlign w:val="center"/>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c>
          <w:tcPr>
            <w:tcW w:w="991" w:type="pct"/>
            <w:noWrap w:val="0"/>
            <w:vAlign w:val="center"/>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pPr>
              <w:pStyle w:val="9"/>
              <w:widowControl w:val="0"/>
              <w:spacing w:beforeAutospacing="0" w:afterAutospacing="0" w:line="5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817" w:type="pct"/>
            <w:noWrap w:val="0"/>
            <w:vAlign w:val="center"/>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c>
          <w:tcPr>
            <w:tcW w:w="942" w:type="pct"/>
            <w:noWrap w:val="0"/>
            <w:vAlign w:val="top"/>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c>
          <w:tcPr>
            <w:tcW w:w="826" w:type="pct"/>
            <w:noWrap w:val="0"/>
            <w:vAlign w:val="center"/>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c>
          <w:tcPr>
            <w:tcW w:w="983" w:type="pct"/>
            <w:noWrap w:val="0"/>
            <w:vAlign w:val="center"/>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c>
          <w:tcPr>
            <w:tcW w:w="991" w:type="pct"/>
            <w:noWrap w:val="0"/>
            <w:vAlign w:val="center"/>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7" w:type="pct"/>
            <w:noWrap w:val="0"/>
            <w:vAlign w:val="center"/>
          </w:tcPr>
          <w:p>
            <w:pPr>
              <w:pStyle w:val="9"/>
              <w:widowControl w:val="0"/>
              <w:spacing w:beforeAutospacing="0" w:afterAutospacing="0" w:line="5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817" w:type="pct"/>
            <w:noWrap w:val="0"/>
            <w:vAlign w:val="center"/>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c>
          <w:tcPr>
            <w:tcW w:w="942" w:type="pct"/>
            <w:noWrap w:val="0"/>
            <w:vAlign w:val="top"/>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c>
          <w:tcPr>
            <w:tcW w:w="826" w:type="pct"/>
            <w:noWrap w:val="0"/>
            <w:vAlign w:val="center"/>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c>
          <w:tcPr>
            <w:tcW w:w="983" w:type="pct"/>
            <w:noWrap w:val="0"/>
            <w:vAlign w:val="center"/>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c>
          <w:tcPr>
            <w:tcW w:w="991" w:type="pct"/>
            <w:noWrap w:val="0"/>
            <w:vAlign w:val="center"/>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r>
    </w:tbl>
    <w:p>
      <w:pPr>
        <w:widowControl w:val="0"/>
        <w:wordWrap w:val="0"/>
        <w:autoSpaceDE w:val="0"/>
        <w:autoSpaceDN w:val="0"/>
        <w:spacing w:line="560" w:lineRule="exact"/>
        <w:ind w:firstLine="640"/>
        <w:jc w:val="center"/>
        <w:textAlignment w:val="baseline"/>
        <w:rPr>
          <w:rFonts w:hint="eastAsia" w:ascii="仿宋_GB2312" w:hAnsi="黑体" w:eastAsia="仿宋_GB2312"/>
          <w:color w:val="000000"/>
          <w:sz w:val="32"/>
          <w:szCs w:val="32"/>
        </w:rPr>
      </w:pPr>
      <w:r>
        <w:rPr>
          <w:rFonts w:hint="eastAsia" w:ascii="仿宋_GB2312" w:hAnsi="黑体" w:eastAsia="仿宋_GB2312"/>
          <w:color w:val="000000"/>
          <w:sz w:val="32"/>
          <w:szCs w:val="32"/>
        </w:rPr>
        <w:t xml:space="preserve">     </w:t>
      </w:r>
    </w:p>
    <w:p>
      <w:pPr>
        <w:widowControl w:val="0"/>
        <w:wordWrap w:val="0"/>
        <w:autoSpaceDE w:val="0"/>
        <w:autoSpaceDN w:val="0"/>
        <w:spacing w:line="560" w:lineRule="exact"/>
        <w:ind w:firstLine="640"/>
        <w:jc w:val="center"/>
        <w:textAlignment w:val="baseline"/>
        <w:rPr>
          <w:rFonts w:hint="eastAsia" w:ascii="仿宋_GB2312" w:hAnsi="黑体" w:eastAsia="仿宋_GB2312"/>
          <w:color w:val="000000"/>
          <w:sz w:val="32"/>
          <w:szCs w:val="32"/>
        </w:rPr>
      </w:pPr>
      <w:r>
        <w:rPr>
          <w:rFonts w:hint="eastAsia" w:ascii="仿宋_GB2312" w:hAnsi="黑体" w:eastAsia="仿宋_GB2312"/>
          <w:color w:val="000000"/>
          <w:sz w:val="32"/>
          <w:szCs w:val="32"/>
        </w:rPr>
        <w:t xml:space="preserve">               单位负责人（签字）：</w:t>
      </w:r>
    </w:p>
    <w:p>
      <w:pPr>
        <w:widowControl w:val="0"/>
        <w:wordWrap w:val="0"/>
        <w:autoSpaceDE w:val="0"/>
        <w:autoSpaceDN w:val="0"/>
        <w:spacing w:line="560" w:lineRule="exact"/>
        <w:ind w:firstLine="640"/>
        <w:jc w:val="right"/>
        <w:textAlignment w:val="baseline"/>
        <w:rPr>
          <w:rFonts w:ascii="仿宋_GB2312" w:hAnsi="黑体" w:eastAsia="仿宋_GB2312"/>
          <w:color w:val="000000"/>
          <w:sz w:val="32"/>
          <w:szCs w:val="32"/>
        </w:rPr>
      </w:pPr>
      <w:r>
        <w:rPr>
          <w:rFonts w:hint="eastAsia" w:ascii="仿宋_GB2312" w:hAnsi="黑体" w:eastAsia="仿宋_GB2312"/>
          <w:color w:val="000000"/>
          <w:sz w:val="32"/>
          <w:szCs w:val="32"/>
        </w:rPr>
        <w:t xml:space="preserve">                      单位名称（盖章） ：                 </w:t>
      </w:r>
    </w:p>
    <w:p>
      <w:pPr>
        <w:widowControl w:val="0"/>
        <w:wordWrap w:val="0"/>
        <w:autoSpaceDE w:val="0"/>
        <w:autoSpaceDN w:val="0"/>
        <w:spacing w:line="560" w:lineRule="exact"/>
        <w:ind w:firstLine="640"/>
        <w:jc w:val="center"/>
        <w:textAlignment w:val="baseline"/>
        <w:rPr>
          <w:rFonts w:hint="eastAsia" w:ascii="仿宋_GB2312" w:hAnsi="黑体" w:eastAsia="仿宋_GB2312"/>
          <w:color w:val="000000"/>
          <w:sz w:val="32"/>
          <w:szCs w:val="32"/>
        </w:rPr>
      </w:pPr>
      <w:r>
        <w:rPr>
          <w:rFonts w:hint="eastAsia" w:ascii="仿宋_GB2312" w:hAnsi="黑体" w:eastAsia="仿宋_GB2312"/>
          <w:color w:val="000000"/>
          <w:sz w:val="32"/>
          <w:szCs w:val="32"/>
        </w:rPr>
        <w:t xml:space="preserve">                日期：</w:t>
      </w:r>
      <w:r>
        <w:rPr>
          <w:rFonts w:ascii="仿宋_GB2312" w:hAnsi="黑体" w:eastAsia="仿宋_GB2312"/>
          <w:color w:val="000000"/>
          <w:sz w:val="32"/>
          <w:szCs w:val="32"/>
        </w:rPr>
        <w:t xml:space="preserve">    </w:t>
      </w:r>
      <w:r>
        <w:rPr>
          <w:rFonts w:hint="eastAsia" w:ascii="仿宋_GB2312" w:hAnsi="黑体" w:eastAsia="仿宋_GB2312"/>
          <w:color w:val="000000"/>
          <w:sz w:val="32"/>
          <w:szCs w:val="32"/>
        </w:rPr>
        <w:t xml:space="preserve">年 </w:t>
      </w:r>
      <w:r>
        <w:rPr>
          <w:rFonts w:ascii="仿宋_GB2312" w:hAnsi="黑体" w:eastAsia="仿宋_GB2312"/>
          <w:color w:val="000000"/>
          <w:sz w:val="32"/>
          <w:szCs w:val="32"/>
        </w:rPr>
        <w:t xml:space="preserve"> </w:t>
      </w:r>
      <w:r>
        <w:rPr>
          <w:rFonts w:hint="eastAsia" w:ascii="仿宋_GB2312" w:hAnsi="黑体" w:eastAsia="仿宋_GB2312"/>
          <w:color w:val="000000"/>
          <w:sz w:val="32"/>
          <w:szCs w:val="32"/>
        </w:rPr>
        <w:t xml:space="preserve">月 </w:t>
      </w:r>
      <w:r>
        <w:rPr>
          <w:rFonts w:ascii="仿宋_GB2312" w:hAnsi="黑体" w:eastAsia="仿宋_GB2312"/>
          <w:color w:val="000000"/>
          <w:sz w:val="32"/>
          <w:szCs w:val="32"/>
        </w:rPr>
        <w:t xml:space="preserve"> </w:t>
      </w:r>
      <w:r>
        <w:rPr>
          <w:rFonts w:hint="eastAsia" w:ascii="仿宋_GB2312" w:hAnsi="黑体" w:eastAsia="仿宋_GB2312"/>
          <w:color w:val="000000"/>
          <w:sz w:val="32"/>
          <w:szCs w:val="32"/>
        </w:rPr>
        <w:t>日</w:t>
      </w:r>
    </w:p>
    <w:p>
      <w:pPr>
        <w:pStyle w:val="2"/>
        <w:ind w:firstLine="640"/>
        <w:rPr>
          <w:rFonts w:hint="eastAsia" w:hAnsi="黑体" w:eastAsia="仿宋_GB2312"/>
          <w:color w:val="000000"/>
          <w:sz w:val="32"/>
          <w:szCs w:val="32"/>
        </w:rPr>
      </w:pPr>
    </w:p>
    <w:p>
      <w:pPr>
        <w:pStyle w:val="2"/>
        <w:ind w:firstLine="640"/>
        <w:rPr>
          <w:rFonts w:hint="eastAsia" w:hAnsi="黑体" w:eastAsia="仿宋_GB2312"/>
          <w:color w:val="000000"/>
          <w:sz w:val="32"/>
          <w:szCs w:val="32"/>
        </w:rPr>
      </w:pPr>
    </w:p>
    <w:p>
      <w:pPr>
        <w:widowControl w:val="0"/>
        <w:overflowPunct w:val="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附3</w:t>
      </w:r>
    </w:p>
    <w:p>
      <w:pPr>
        <w:widowControl w:val="0"/>
        <w:autoSpaceDE w:val="0"/>
        <w:autoSpaceDN w:val="0"/>
        <w:spacing w:before="156" w:beforeLines="50" w:after="156" w:afterLines="50" w:line="560" w:lineRule="exact"/>
        <w:jc w:val="center"/>
        <w:textAlignment w:val="baseline"/>
        <w:rPr>
          <w:rFonts w:ascii="华文中宋" w:hAnsi="华文中宋" w:eastAsia="华文中宋"/>
          <w:color w:val="000000"/>
          <w:sz w:val="36"/>
        </w:rPr>
      </w:pPr>
      <w:r>
        <w:rPr>
          <w:rFonts w:hint="eastAsia" w:ascii="华文中宋" w:hAnsi="华文中宋" w:eastAsia="华文中宋"/>
          <w:color w:val="000000"/>
          <w:sz w:val="36"/>
          <w:szCs w:val="36"/>
          <w:u w:val="single"/>
        </w:rPr>
        <w:t>（部门名称）（评价年度）</w:t>
      </w:r>
      <w:r>
        <w:rPr>
          <w:rFonts w:hint="eastAsia" w:ascii="华文中宋" w:hAnsi="华文中宋" w:eastAsia="华文中宋"/>
          <w:color w:val="000000"/>
          <w:sz w:val="36"/>
          <w:szCs w:val="36"/>
        </w:rPr>
        <w:t>年度</w:t>
      </w:r>
      <w:r>
        <w:rPr>
          <w:rFonts w:ascii="华文中宋" w:hAnsi="华文中宋" w:eastAsia="华文中宋"/>
          <w:color w:val="000000"/>
          <w:sz w:val="36"/>
        </w:rPr>
        <w:t>内部控制</w:t>
      </w:r>
      <w:r>
        <w:rPr>
          <w:rFonts w:hint="eastAsia" w:ascii="华文中宋" w:hAnsi="华文中宋" w:eastAsia="华文中宋"/>
          <w:color w:val="000000"/>
          <w:sz w:val="36"/>
        </w:rPr>
        <w:t>自我</w:t>
      </w:r>
      <w:r>
        <w:rPr>
          <w:rFonts w:ascii="华文中宋" w:hAnsi="华文中宋" w:eastAsia="华文中宋"/>
          <w:color w:val="000000"/>
          <w:sz w:val="36"/>
        </w:rPr>
        <w:t>评价</w:t>
      </w:r>
    </w:p>
    <w:p>
      <w:pPr>
        <w:widowControl w:val="0"/>
        <w:autoSpaceDE w:val="0"/>
        <w:autoSpaceDN w:val="0"/>
        <w:spacing w:before="156" w:beforeLines="50" w:after="156" w:afterLines="50" w:line="560" w:lineRule="exact"/>
        <w:jc w:val="center"/>
        <w:textAlignment w:val="baseline"/>
        <w:rPr>
          <w:rFonts w:hint="eastAsia" w:ascii="仿宋_GB2312" w:hAnsi="黑体" w:eastAsia="仿宋_GB2312"/>
          <w:color w:val="000000"/>
          <w:sz w:val="32"/>
          <w:szCs w:val="32"/>
        </w:rPr>
      </w:pPr>
      <w:r>
        <w:rPr>
          <w:rFonts w:hint="eastAsia" w:ascii="华文中宋" w:hAnsi="华文中宋" w:eastAsia="华文中宋"/>
          <w:color w:val="000000"/>
          <w:sz w:val="36"/>
        </w:rPr>
        <w:t>复核意见书</w:t>
      </w:r>
    </w:p>
    <w:p>
      <w:pPr>
        <w:widowControl w:val="0"/>
        <w:autoSpaceDE w:val="0"/>
        <w:autoSpaceDN w:val="0"/>
        <w:spacing w:line="560" w:lineRule="exact"/>
        <w:jc w:val="both"/>
        <w:textAlignment w:val="baseline"/>
        <w:rPr>
          <w:rFonts w:hint="eastAsia" w:ascii="仿宋_GB2312" w:hAnsi="黑体" w:eastAsia="仿宋_GB2312"/>
          <w:color w:val="000000"/>
          <w:sz w:val="32"/>
          <w:szCs w:val="32"/>
        </w:rPr>
      </w:pPr>
      <w:r>
        <w:rPr>
          <w:rFonts w:hint="eastAsia" w:ascii="仿宋_GB2312" w:hAnsi="黑体" w:eastAsia="仿宋_GB2312"/>
          <w:color w:val="000000"/>
          <w:sz w:val="32"/>
          <w:szCs w:val="32"/>
        </w:rPr>
        <w:t>X X 单位：</w:t>
      </w:r>
    </w:p>
    <w:p>
      <w:pPr>
        <w:widowControl w:val="0"/>
        <w:autoSpaceDE w:val="0"/>
        <w:autoSpaceDN w:val="0"/>
        <w:spacing w:line="560" w:lineRule="exact"/>
        <w:ind w:firstLine="640" w:firstLineChars="200"/>
        <w:jc w:val="both"/>
        <w:textAlignment w:val="baseline"/>
        <w:rPr>
          <w:rFonts w:hint="eastAsia"/>
        </w:rPr>
      </w:pPr>
      <w:r>
        <w:rPr>
          <w:rFonts w:hint="eastAsia" w:ascii="仿宋_GB2312" w:hAnsi="黑体" w:eastAsia="仿宋_GB2312"/>
          <w:color w:val="000000"/>
          <w:sz w:val="32"/>
          <w:szCs w:val="32"/>
        </w:rPr>
        <w:t>根据《行政事业单位内部控制评价办法》有关规定，经部门复核后，你单位内部控制自我评价复核结果如下。</w:t>
      </w:r>
    </w:p>
    <w:p>
      <w:pPr>
        <w:pStyle w:val="15"/>
        <w:numPr>
          <w:ilvl w:val="0"/>
          <w:numId w:val="7"/>
        </w:numPr>
        <w:autoSpaceDE w:val="0"/>
        <w:autoSpaceDN w:val="0"/>
        <w:spacing w:line="560" w:lineRule="exact"/>
        <w:ind w:firstLine="700" w:firstLineChars="218"/>
        <w:textAlignment w:val="baseline"/>
        <w:rPr>
          <w:rFonts w:hint="eastAsia" w:ascii="方正黑体_GBK" w:hAnsi="方正黑体_GBK" w:eastAsia="方正黑体_GBK" w:cs="方正黑体_GBK"/>
          <w:b/>
          <w:bCs/>
          <w:color w:val="000000"/>
          <w:sz w:val="32"/>
          <w:szCs w:val="32"/>
        </w:rPr>
      </w:pPr>
      <w:r>
        <w:rPr>
          <w:rFonts w:hint="eastAsia" w:ascii="方正黑体_GBK" w:hAnsi="方正黑体_GBK" w:eastAsia="方正黑体_GBK" w:cs="方正黑体_GBK"/>
          <w:b/>
          <w:bCs/>
          <w:color w:val="000000"/>
          <w:sz w:val="32"/>
          <w:szCs w:val="32"/>
        </w:rPr>
        <w:t>内部控制评价</w:t>
      </w:r>
      <w:r>
        <w:rPr>
          <w:rFonts w:hint="eastAsia" w:ascii="方正黑体_GBK" w:hAnsi="方正黑体_GBK" w:eastAsia="方正黑体_GBK" w:cs="方正黑体_GBK"/>
          <w:b/>
          <w:bCs/>
          <w:sz w:val="32"/>
          <w:szCs w:val="32"/>
        </w:rPr>
        <w:t>复核</w:t>
      </w:r>
      <w:r>
        <w:rPr>
          <w:rFonts w:hint="eastAsia" w:ascii="方正黑体_GBK" w:hAnsi="方正黑体_GBK" w:eastAsia="方正黑体_GBK" w:cs="方正黑体_GBK"/>
          <w:b/>
          <w:bCs/>
          <w:color w:val="000000"/>
          <w:sz w:val="32"/>
          <w:szCs w:val="32"/>
        </w:rPr>
        <w:t>结果</w:t>
      </w:r>
    </w:p>
    <w:p>
      <w:pPr>
        <w:widowControl w:val="0"/>
        <w:autoSpaceDE w:val="0"/>
        <w:autoSpaceDN w:val="0"/>
        <w:spacing w:line="560" w:lineRule="exact"/>
        <w:ind w:firstLine="640" w:firstLineChars="200"/>
        <w:jc w:val="both"/>
        <w:textAlignment w:val="baseline"/>
        <w:rPr>
          <w:rFonts w:ascii="仿宋_GB2312" w:hAnsi="黑体" w:eastAsia="仿宋_GB2312"/>
          <w:color w:val="000000"/>
          <w:sz w:val="32"/>
          <w:szCs w:val="32"/>
        </w:rPr>
      </w:pPr>
      <w:r>
        <w:rPr>
          <w:rFonts w:hint="eastAsia" w:ascii="仿宋_GB2312" w:hAnsi="黑体" w:eastAsia="仿宋_GB2312"/>
          <w:color w:val="000000"/>
          <w:sz w:val="32"/>
          <w:szCs w:val="32"/>
        </w:rPr>
        <w:t>经复核，你单位内部控制评价最终得分如下：</w:t>
      </w:r>
    </w:p>
    <w:tbl>
      <w:tblPr>
        <w:tblStyle w:val="10"/>
        <w:tblW w:w="42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2355"/>
        <w:gridCol w:w="792"/>
        <w:gridCol w:w="830"/>
        <w:gridCol w:w="831"/>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093" w:type="pct"/>
            <w:vMerge w:val="restart"/>
            <w:noWrap w:val="0"/>
            <w:vAlign w:val="center"/>
          </w:tcPr>
          <w:p>
            <w:pPr>
              <w:widowControl w:val="0"/>
              <w:overflowPunct w:val="0"/>
              <w:spacing w:line="500" w:lineRule="exact"/>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一级指标</w:t>
            </w:r>
          </w:p>
        </w:tc>
        <w:tc>
          <w:tcPr>
            <w:tcW w:w="1615" w:type="pct"/>
            <w:vMerge w:val="restart"/>
            <w:noWrap w:val="0"/>
            <w:vAlign w:val="center"/>
          </w:tcPr>
          <w:p>
            <w:pPr>
              <w:widowControl w:val="0"/>
              <w:overflowPunct w:val="0"/>
              <w:spacing w:line="500" w:lineRule="exact"/>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二级指标</w:t>
            </w:r>
          </w:p>
        </w:tc>
        <w:tc>
          <w:tcPr>
            <w:tcW w:w="542" w:type="pct"/>
            <w:vMerge w:val="restart"/>
            <w:noWrap w:val="0"/>
            <w:vAlign w:val="center"/>
          </w:tcPr>
          <w:p>
            <w:pPr>
              <w:widowControl w:val="0"/>
              <w:overflowPunct w:val="0"/>
              <w:spacing w:line="500" w:lineRule="exact"/>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分值</w:t>
            </w:r>
          </w:p>
        </w:tc>
        <w:tc>
          <w:tcPr>
            <w:tcW w:w="1748" w:type="pct"/>
            <w:gridSpan w:val="3"/>
            <w:noWrap w:val="0"/>
            <w:vAlign w:val="top"/>
          </w:tcPr>
          <w:p>
            <w:pPr>
              <w:widowControl w:val="0"/>
              <w:overflowPunct w:val="0"/>
              <w:spacing w:line="500" w:lineRule="exact"/>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093" w:type="pct"/>
            <w:vMerge w:val="continue"/>
            <w:noWrap w:val="0"/>
            <w:vAlign w:val="center"/>
          </w:tcPr>
          <w:p>
            <w:pPr>
              <w:widowControl w:val="0"/>
              <w:overflowPunct w:val="0"/>
              <w:spacing w:line="500" w:lineRule="exact"/>
              <w:jc w:val="center"/>
              <w:rPr>
                <w:rFonts w:hint="eastAsia" w:ascii="仿宋_GB2312" w:hAnsi="仿宋_GB2312" w:eastAsia="仿宋_GB2312" w:cs="仿宋_GB2312"/>
                <w:b/>
                <w:bCs/>
                <w:sz w:val="22"/>
                <w:szCs w:val="22"/>
              </w:rPr>
            </w:pPr>
          </w:p>
        </w:tc>
        <w:tc>
          <w:tcPr>
            <w:tcW w:w="1615" w:type="pct"/>
            <w:vMerge w:val="continue"/>
            <w:noWrap w:val="0"/>
            <w:vAlign w:val="center"/>
          </w:tcPr>
          <w:p>
            <w:pPr>
              <w:widowControl w:val="0"/>
              <w:overflowPunct w:val="0"/>
              <w:spacing w:line="500" w:lineRule="exact"/>
              <w:jc w:val="center"/>
              <w:rPr>
                <w:rFonts w:hint="eastAsia" w:ascii="仿宋_GB2312" w:hAnsi="仿宋_GB2312" w:eastAsia="仿宋_GB2312" w:cs="仿宋_GB2312"/>
                <w:b/>
                <w:bCs/>
                <w:sz w:val="22"/>
                <w:szCs w:val="22"/>
              </w:rPr>
            </w:pPr>
          </w:p>
        </w:tc>
        <w:tc>
          <w:tcPr>
            <w:tcW w:w="542" w:type="pct"/>
            <w:vMerge w:val="continue"/>
            <w:noWrap w:val="0"/>
            <w:vAlign w:val="center"/>
          </w:tcPr>
          <w:p>
            <w:pPr>
              <w:widowControl w:val="0"/>
              <w:overflowPunct w:val="0"/>
              <w:spacing w:line="500" w:lineRule="exact"/>
              <w:jc w:val="center"/>
              <w:rPr>
                <w:rFonts w:hint="eastAsia" w:ascii="仿宋_GB2312" w:hAnsi="仿宋_GB2312" w:eastAsia="仿宋_GB2312" w:cs="仿宋_GB2312"/>
                <w:b/>
                <w:bCs/>
                <w:sz w:val="22"/>
                <w:szCs w:val="22"/>
              </w:rPr>
            </w:pPr>
          </w:p>
        </w:tc>
        <w:tc>
          <w:tcPr>
            <w:tcW w:w="569" w:type="pct"/>
            <w:noWrap w:val="0"/>
            <w:vAlign w:val="top"/>
          </w:tcPr>
          <w:p>
            <w:pPr>
              <w:widowControl w:val="0"/>
              <w:overflowPunct w:val="0"/>
              <w:spacing w:line="360" w:lineRule="exact"/>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自评得分</w:t>
            </w:r>
          </w:p>
        </w:tc>
        <w:tc>
          <w:tcPr>
            <w:tcW w:w="570" w:type="pct"/>
            <w:noWrap w:val="0"/>
            <w:vAlign w:val="top"/>
          </w:tcPr>
          <w:p>
            <w:pPr>
              <w:widowControl w:val="0"/>
              <w:overflowPunct w:val="0"/>
              <w:spacing w:line="360" w:lineRule="exact"/>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调整分</w:t>
            </w:r>
          </w:p>
        </w:tc>
        <w:tc>
          <w:tcPr>
            <w:tcW w:w="608" w:type="pct"/>
            <w:noWrap w:val="0"/>
            <w:vAlign w:val="top"/>
          </w:tcPr>
          <w:p>
            <w:pPr>
              <w:widowControl w:val="0"/>
              <w:overflowPunct w:val="0"/>
              <w:spacing w:line="360" w:lineRule="exact"/>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最终得分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3" w:type="pct"/>
            <w:vMerge w:val="restart"/>
            <w:noWrap w:val="0"/>
            <w:vAlign w:val="center"/>
          </w:tcPr>
          <w:p>
            <w:pPr>
              <w:widowControl w:val="0"/>
              <w:overflowPunct w:val="0"/>
              <w:spacing w:line="360" w:lineRule="exac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一、单位层面内部控制</w:t>
            </w:r>
          </w:p>
        </w:tc>
        <w:tc>
          <w:tcPr>
            <w:tcW w:w="1615" w:type="pct"/>
            <w:noWrap w:val="0"/>
            <w:vAlign w:val="center"/>
          </w:tcPr>
          <w:p>
            <w:pPr>
              <w:pStyle w:val="9"/>
              <w:widowControl w:val="0"/>
              <w:spacing w:beforeAutospacing="0" w:afterAutospacing="0" w:line="360" w:lineRule="exact"/>
              <w:jc w:val="both"/>
              <w:rPr>
                <w:rFonts w:hint="eastAsia" w:ascii="仿宋_GB2312" w:hAnsi="仿宋_GB2312" w:eastAsia="仿宋_GB2312" w:cs="仿宋_GB2312"/>
                <w:color w:val="000000"/>
                <w:sz w:val="22"/>
                <w:szCs w:val="22"/>
              </w:rPr>
            </w:pPr>
            <w:r>
              <w:rPr>
                <w:rFonts w:hint="eastAsia" w:ascii="仿宋_GB2312" w:hAnsi="仿宋_GB2312" w:eastAsia="仿宋_GB2312" w:cs="仿宋_GB2312"/>
                <w:sz w:val="22"/>
                <w:szCs w:val="22"/>
              </w:rPr>
              <w:t>1.议事决策机制</w:t>
            </w:r>
          </w:p>
        </w:tc>
        <w:tc>
          <w:tcPr>
            <w:tcW w:w="542" w:type="pct"/>
            <w:vMerge w:val="restart"/>
            <w:noWrap w:val="0"/>
            <w:vAlign w:val="center"/>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20</w:t>
            </w:r>
          </w:p>
        </w:tc>
        <w:tc>
          <w:tcPr>
            <w:tcW w:w="569"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c>
          <w:tcPr>
            <w:tcW w:w="570"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c>
          <w:tcPr>
            <w:tcW w:w="608"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093" w:type="pct"/>
            <w:vMerge w:val="continue"/>
            <w:noWrap w:val="0"/>
            <w:vAlign w:val="center"/>
          </w:tcPr>
          <w:p>
            <w:pPr>
              <w:widowControl w:val="0"/>
              <w:overflowPunct w:val="0"/>
              <w:spacing w:line="360" w:lineRule="exact"/>
              <w:jc w:val="both"/>
              <w:rPr>
                <w:rFonts w:hint="eastAsia" w:ascii="仿宋_GB2312" w:hAnsi="仿宋_GB2312" w:eastAsia="仿宋_GB2312" w:cs="仿宋_GB2312"/>
                <w:sz w:val="22"/>
                <w:szCs w:val="22"/>
              </w:rPr>
            </w:pPr>
          </w:p>
        </w:tc>
        <w:tc>
          <w:tcPr>
            <w:tcW w:w="1615" w:type="pct"/>
            <w:noWrap w:val="0"/>
            <w:vAlign w:val="center"/>
          </w:tcPr>
          <w:p>
            <w:pPr>
              <w:pStyle w:val="9"/>
              <w:spacing w:beforeAutospacing="0" w:afterAutospacing="0" w:line="360" w:lineRule="exac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2.权力制衡机制</w:t>
            </w:r>
          </w:p>
        </w:tc>
        <w:tc>
          <w:tcPr>
            <w:tcW w:w="542" w:type="pct"/>
            <w:vMerge w:val="continue"/>
            <w:noWrap w:val="0"/>
            <w:vAlign w:val="center"/>
          </w:tcPr>
          <w:p>
            <w:pPr>
              <w:pStyle w:val="9"/>
              <w:spacing w:beforeAutospacing="0" w:afterAutospacing="0" w:line="360" w:lineRule="exact"/>
              <w:jc w:val="center"/>
              <w:rPr>
                <w:rFonts w:hint="eastAsia" w:ascii="仿宋_GB2312" w:hAnsi="仿宋_GB2312" w:eastAsia="仿宋_GB2312" w:cs="仿宋_GB2312"/>
                <w:color w:val="000000"/>
                <w:sz w:val="22"/>
                <w:szCs w:val="22"/>
              </w:rPr>
            </w:pPr>
          </w:p>
        </w:tc>
        <w:tc>
          <w:tcPr>
            <w:tcW w:w="569"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c>
          <w:tcPr>
            <w:tcW w:w="570"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c>
          <w:tcPr>
            <w:tcW w:w="608"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3" w:type="pct"/>
            <w:vMerge w:val="continue"/>
            <w:noWrap w:val="0"/>
            <w:vAlign w:val="center"/>
          </w:tcPr>
          <w:p>
            <w:pPr>
              <w:widowControl w:val="0"/>
              <w:overflowPunct w:val="0"/>
              <w:spacing w:line="360" w:lineRule="exact"/>
              <w:jc w:val="both"/>
              <w:rPr>
                <w:rFonts w:hint="eastAsia" w:ascii="仿宋_GB2312" w:hAnsi="仿宋_GB2312" w:eastAsia="仿宋_GB2312" w:cs="仿宋_GB2312"/>
                <w:sz w:val="22"/>
                <w:szCs w:val="22"/>
              </w:rPr>
            </w:pPr>
          </w:p>
        </w:tc>
        <w:tc>
          <w:tcPr>
            <w:tcW w:w="1615" w:type="pct"/>
            <w:noWrap w:val="0"/>
            <w:vAlign w:val="center"/>
          </w:tcPr>
          <w:p>
            <w:pPr>
              <w:pStyle w:val="9"/>
              <w:widowControl w:val="0"/>
              <w:spacing w:beforeAutospacing="0" w:afterAutospacing="0" w:line="360" w:lineRule="exac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3.信息系统</w:t>
            </w:r>
          </w:p>
        </w:tc>
        <w:tc>
          <w:tcPr>
            <w:tcW w:w="542" w:type="pct"/>
            <w:vMerge w:val="continue"/>
            <w:noWrap w:val="0"/>
            <w:vAlign w:val="center"/>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c>
          <w:tcPr>
            <w:tcW w:w="569"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c>
          <w:tcPr>
            <w:tcW w:w="570"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c>
          <w:tcPr>
            <w:tcW w:w="608"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3" w:type="pct"/>
            <w:vMerge w:val="continue"/>
            <w:noWrap w:val="0"/>
            <w:vAlign w:val="center"/>
          </w:tcPr>
          <w:p>
            <w:pPr>
              <w:widowControl w:val="0"/>
              <w:overflowPunct w:val="0"/>
              <w:spacing w:line="360" w:lineRule="exact"/>
              <w:jc w:val="both"/>
              <w:rPr>
                <w:rFonts w:hint="eastAsia" w:ascii="仿宋_GB2312" w:hAnsi="仿宋_GB2312" w:eastAsia="仿宋_GB2312" w:cs="仿宋_GB2312"/>
                <w:sz w:val="22"/>
                <w:szCs w:val="22"/>
              </w:rPr>
            </w:pPr>
          </w:p>
        </w:tc>
        <w:tc>
          <w:tcPr>
            <w:tcW w:w="1615" w:type="pct"/>
            <w:noWrap w:val="0"/>
            <w:vAlign w:val="center"/>
          </w:tcPr>
          <w:p>
            <w:pPr>
              <w:pStyle w:val="9"/>
              <w:spacing w:beforeAutospacing="0" w:afterAutospacing="0" w:line="360" w:lineRule="exac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4.补充指标</w:t>
            </w:r>
          </w:p>
        </w:tc>
        <w:tc>
          <w:tcPr>
            <w:tcW w:w="542" w:type="pct"/>
            <w:vMerge w:val="continue"/>
            <w:noWrap w:val="0"/>
            <w:vAlign w:val="center"/>
          </w:tcPr>
          <w:p>
            <w:pPr>
              <w:pStyle w:val="9"/>
              <w:spacing w:beforeAutospacing="0" w:afterAutospacing="0" w:line="360" w:lineRule="exact"/>
              <w:jc w:val="center"/>
              <w:rPr>
                <w:rFonts w:hint="eastAsia" w:ascii="仿宋_GB2312" w:hAnsi="仿宋_GB2312" w:eastAsia="仿宋_GB2312" w:cs="仿宋_GB2312"/>
                <w:color w:val="000000"/>
                <w:sz w:val="22"/>
                <w:szCs w:val="22"/>
              </w:rPr>
            </w:pPr>
          </w:p>
        </w:tc>
        <w:tc>
          <w:tcPr>
            <w:tcW w:w="569"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c>
          <w:tcPr>
            <w:tcW w:w="570"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c>
          <w:tcPr>
            <w:tcW w:w="608"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3" w:type="pct"/>
            <w:vMerge w:val="restart"/>
            <w:noWrap w:val="0"/>
            <w:vAlign w:val="center"/>
          </w:tcPr>
          <w:p>
            <w:pPr>
              <w:widowControl w:val="0"/>
              <w:overflowPunct w:val="0"/>
              <w:spacing w:line="360" w:lineRule="exac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二、业务层面内部控制</w:t>
            </w:r>
          </w:p>
        </w:tc>
        <w:tc>
          <w:tcPr>
            <w:tcW w:w="1615" w:type="pct"/>
            <w:noWrap w:val="0"/>
            <w:vAlign w:val="center"/>
          </w:tcPr>
          <w:p>
            <w:pPr>
              <w:pStyle w:val="9"/>
              <w:spacing w:beforeAutospacing="0" w:afterAutospacing="0" w:line="360" w:lineRule="exac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5.预算业务内部控制</w:t>
            </w:r>
          </w:p>
        </w:tc>
        <w:tc>
          <w:tcPr>
            <w:tcW w:w="542" w:type="pct"/>
            <w:vMerge w:val="restart"/>
            <w:noWrap w:val="0"/>
            <w:vAlign w:val="center"/>
          </w:tcPr>
          <w:p>
            <w:pPr>
              <w:pStyle w:val="9"/>
              <w:spacing w:beforeAutospacing="0" w:afterAutospacing="0" w:line="360" w:lineRule="exact"/>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75</w:t>
            </w:r>
          </w:p>
        </w:tc>
        <w:tc>
          <w:tcPr>
            <w:tcW w:w="569"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c>
          <w:tcPr>
            <w:tcW w:w="570"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c>
          <w:tcPr>
            <w:tcW w:w="608"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093" w:type="pct"/>
            <w:vMerge w:val="continue"/>
            <w:noWrap w:val="0"/>
            <w:vAlign w:val="center"/>
          </w:tcPr>
          <w:p>
            <w:pPr>
              <w:widowControl w:val="0"/>
              <w:overflowPunct w:val="0"/>
              <w:spacing w:line="360" w:lineRule="exact"/>
              <w:jc w:val="both"/>
              <w:rPr>
                <w:rFonts w:hint="eastAsia" w:ascii="仿宋_GB2312" w:hAnsi="仿宋_GB2312" w:eastAsia="仿宋_GB2312" w:cs="仿宋_GB2312"/>
                <w:sz w:val="22"/>
                <w:szCs w:val="22"/>
              </w:rPr>
            </w:pPr>
          </w:p>
        </w:tc>
        <w:tc>
          <w:tcPr>
            <w:tcW w:w="1615" w:type="pct"/>
            <w:noWrap w:val="0"/>
            <w:vAlign w:val="center"/>
          </w:tcPr>
          <w:p>
            <w:pPr>
              <w:pStyle w:val="9"/>
              <w:spacing w:beforeAutospacing="0" w:afterAutospacing="0" w:line="360" w:lineRule="exac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6.收支业务内部控制</w:t>
            </w:r>
          </w:p>
        </w:tc>
        <w:tc>
          <w:tcPr>
            <w:tcW w:w="542" w:type="pct"/>
            <w:vMerge w:val="continue"/>
            <w:noWrap w:val="0"/>
            <w:vAlign w:val="center"/>
          </w:tcPr>
          <w:p>
            <w:pPr>
              <w:pStyle w:val="9"/>
              <w:spacing w:beforeAutospacing="0" w:afterAutospacing="0" w:line="360" w:lineRule="exact"/>
              <w:jc w:val="center"/>
              <w:rPr>
                <w:rFonts w:hint="eastAsia" w:ascii="仿宋_GB2312" w:hAnsi="仿宋_GB2312" w:eastAsia="仿宋_GB2312" w:cs="仿宋_GB2312"/>
                <w:color w:val="000000"/>
                <w:sz w:val="22"/>
                <w:szCs w:val="22"/>
              </w:rPr>
            </w:pPr>
          </w:p>
        </w:tc>
        <w:tc>
          <w:tcPr>
            <w:tcW w:w="569"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c>
          <w:tcPr>
            <w:tcW w:w="570"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c>
          <w:tcPr>
            <w:tcW w:w="608"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3" w:type="pct"/>
            <w:vMerge w:val="continue"/>
            <w:noWrap w:val="0"/>
            <w:vAlign w:val="center"/>
          </w:tcPr>
          <w:p>
            <w:pPr>
              <w:widowControl w:val="0"/>
              <w:overflowPunct w:val="0"/>
              <w:spacing w:line="360" w:lineRule="exact"/>
              <w:jc w:val="both"/>
              <w:rPr>
                <w:rFonts w:hint="eastAsia" w:ascii="仿宋_GB2312" w:hAnsi="仿宋_GB2312" w:eastAsia="仿宋_GB2312" w:cs="仿宋_GB2312"/>
                <w:sz w:val="22"/>
                <w:szCs w:val="22"/>
              </w:rPr>
            </w:pPr>
          </w:p>
        </w:tc>
        <w:tc>
          <w:tcPr>
            <w:tcW w:w="1615" w:type="pct"/>
            <w:noWrap w:val="0"/>
            <w:vAlign w:val="center"/>
          </w:tcPr>
          <w:p>
            <w:pPr>
              <w:pStyle w:val="9"/>
              <w:spacing w:beforeAutospacing="0" w:afterAutospacing="0" w:line="360" w:lineRule="exac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7.政府采购业务内部控制</w:t>
            </w:r>
          </w:p>
        </w:tc>
        <w:tc>
          <w:tcPr>
            <w:tcW w:w="542" w:type="pct"/>
            <w:vMerge w:val="continue"/>
            <w:noWrap w:val="0"/>
            <w:vAlign w:val="center"/>
          </w:tcPr>
          <w:p>
            <w:pPr>
              <w:pStyle w:val="9"/>
              <w:spacing w:beforeAutospacing="0" w:afterAutospacing="0" w:line="360" w:lineRule="exact"/>
              <w:jc w:val="center"/>
              <w:rPr>
                <w:rFonts w:hint="eastAsia" w:ascii="仿宋_GB2312" w:hAnsi="仿宋_GB2312" w:eastAsia="仿宋_GB2312" w:cs="仿宋_GB2312"/>
                <w:color w:val="000000"/>
                <w:sz w:val="22"/>
                <w:szCs w:val="22"/>
              </w:rPr>
            </w:pPr>
          </w:p>
        </w:tc>
        <w:tc>
          <w:tcPr>
            <w:tcW w:w="569"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c>
          <w:tcPr>
            <w:tcW w:w="570"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c>
          <w:tcPr>
            <w:tcW w:w="608"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3" w:type="pct"/>
            <w:vMerge w:val="continue"/>
            <w:noWrap w:val="0"/>
            <w:vAlign w:val="center"/>
          </w:tcPr>
          <w:p>
            <w:pPr>
              <w:widowControl w:val="0"/>
              <w:overflowPunct w:val="0"/>
              <w:spacing w:line="360" w:lineRule="exact"/>
              <w:jc w:val="both"/>
              <w:rPr>
                <w:rFonts w:hint="eastAsia" w:ascii="仿宋_GB2312" w:hAnsi="仿宋_GB2312" w:eastAsia="仿宋_GB2312" w:cs="仿宋_GB2312"/>
                <w:sz w:val="22"/>
                <w:szCs w:val="22"/>
              </w:rPr>
            </w:pPr>
          </w:p>
        </w:tc>
        <w:tc>
          <w:tcPr>
            <w:tcW w:w="1615" w:type="pct"/>
            <w:noWrap w:val="0"/>
            <w:vAlign w:val="center"/>
          </w:tcPr>
          <w:p>
            <w:pPr>
              <w:pStyle w:val="9"/>
              <w:spacing w:beforeAutospacing="0" w:afterAutospacing="0" w:line="360" w:lineRule="exac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8.资产业务内部控制</w:t>
            </w:r>
          </w:p>
        </w:tc>
        <w:tc>
          <w:tcPr>
            <w:tcW w:w="542" w:type="pct"/>
            <w:vMerge w:val="continue"/>
            <w:noWrap w:val="0"/>
            <w:vAlign w:val="center"/>
          </w:tcPr>
          <w:p>
            <w:pPr>
              <w:pStyle w:val="9"/>
              <w:spacing w:beforeAutospacing="0" w:afterAutospacing="0" w:line="360" w:lineRule="exact"/>
              <w:jc w:val="center"/>
              <w:rPr>
                <w:rFonts w:hint="eastAsia" w:ascii="仿宋_GB2312" w:hAnsi="仿宋_GB2312" w:eastAsia="仿宋_GB2312" w:cs="仿宋_GB2312"/>
                <w:color w:val="000000"/>
                <w:sz w:val="22"/>
                <w:szCs w:val="22"/>
              </w:rPr>
            </w:pPr>
          </w:p>
        </w:tc>
        <w:tc>
          <w:tcPr>
            <w:tcW w:w="569"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c>
          <w:tcPr>
            <w:tcW w:w="570"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c>
          <w:tcPr>
            <w:tcW w:w="608"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3" w:type="pct"/>
            <w:vMerge w:val="continue"/>
            <w:noWrap w:val="0"/>
            <w:vAlign w:val="center"/>
          </w:tcPr>
          <w:p>
            <w:pPr>
              <w:widowControl w:val="0"/>
              <w:overflowPunct w:val="0"/>
              <w:spacing w:line="360" w:lineRule="exact"/>
              <w:jc w:val="both"/>
              <w:rPr>
                <w:rFonts w:hint="eastAsia" w:ascii="仿宋_GB2312" w:hAnsi="仿宋_GB2312" w:eastAsia="仿宋_GB2312" w:cs="仿宋_GB2312"/>
                <w:sz w:val="22"/>
                <w:szCs w:val="22"/>
              </w:rPr>
            </w:pPr>
          </w:p>
        </w:tc>
        <w:tc>
          <w:tcPr>
            <w:tcW w:w="1615" w:type="pct"/>
            <w:noWrap w:val="0"/>
            <w:vAlign w:val="center"/>
          </w:tcPr>
          <w:p>
            <w:pPr>
              <w:pStyle w:val="9"/>
              <w:spacing w:beforeAutospacing="0" w:afterAutospacing="0" w:line="360" w:lineRule="exac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9.建设项目内部控制</w:t>
            </w:r>
          </w:p>
        </w:tc>
        <w:tc>
          <w:tcPr>
            <w:tcW w:w="542" w:type="pct"/>
            <w:vMerge w:val="continue"/>
            <w:noWrap w:val="0"/>
            <w:vAlign w:val="center"/>
          </w:tcPr>
          <w:p>
            <w:pPr>
              <w:pStyle w:val="9"/>
              <w:spacing w:beforeAutospacing="0" w:afterAutospacing="0" w:line="360" w:lineRule="exact"/>
              <w:jc w:val="center"/>
              <w:rPr>
                <w:rFonts w:hint="eastAsia" w:ascii="仿宋_GB2312" w:hAnsi="仿宋_GB2312" w:eastAsia="仿宋_GB2312" w:cs="仿宋_GB2312"/>
                <w:color w:val="000000"/>
                <w:sz w:val="22"/>
                <w:szCs w:val="22"/>
              </w:rPr>
            </w:pPr>
          </w:p>
        </w:tc>
        <w:tc>
          <w:tcPr>
            <w:tcW w:w="569"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c>
          <w:tcPr>
            <w:tcW w:w="570"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c>
          <w:tcPr>
            <w:tcW w:w="608"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093" w:type="pct"/>
            <w:vMerge w:val="continue"/>
            <w:noWrap w:val="0"/>
            <w:vAlign w:val="center"/>
          </w:tcPr>
          <w:p>
            <w:pPr>
              <w:widowControl w:val="0"/>
              <w:overflowPunct w:val="0"/>
              <w:spacing w:line="360" w:lineRule="exact"/>
              <w:jc w:val="both"/>
              <w:rPr>
                <w:rFonts w:hint="eastAsia" w:ascii="仿宋_GB2312" w:hAnsi="仿宋_GB2312" w:eastAsia="仿宋_GB2312" w:cs="仿宋_GB2312"/>
                <w:sz w:val="22"/>
                <w:szCs w:val="22"/>
              </w:rPr>
            </w:pPr>
          </w:p>
        </w:tc>
        <w:tc>
          <w:tcPr>
            <w:tcW w:w="1615" w:type="pct"/>
            <w:noWrap w:val="0"/>
            <w:vAlign w:val="center"/>
          </w:tcPr>
          <w:p>
            <w:pPr>
              <w:pStyle w:val="9"/>
              <w:spacing w:beforeAutospacing="0" w:afterAutospacing="0" w:line="360" w:lineRule="exac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10.合同管理内部控制</w:t>
            </w:r>
          </w:p>
        </w:tc>
        <w:tc>
          <w:tcPr>
            <w:tcW w:w="542" w:type="pct"/>
            <w:vMerge w:val="continue"/>
            <w:noWrap w:val="0"/>
            <w:vAlign w:val="center"/>
          </w:tcPr>
          <w:p>
            <w:pPr>
              <w:pStyle w:val="9"/>
              <w:spacing w:beforeAutospacing="0" w:afterAutospacing="0" w:line="360" w:lineRule="exact"/>
              <w:jc w:val="center"/>
              <w:rPr>
                <w:rFonts w:hint="eastAsia" w:ascii="仿宋_GB2312" w:hAnsi="仿宋_GB2312" w:eastAsia="仿宋_GB2312" w:cs="仿宋_GB2312"/>
                <w:color w:val="000000"/>
                <w:sz w:val="22"/>
                <w:szCs w:val="22"/>
              </w:rPr>
            </w:pPr>
          </w:p>
        </w:tc>
        <w:tc>
          <w:tcPr>
            <w:tcW w:w="569"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c>
          <w:tcPr>
            <w:tcW w:w="570"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c>
          <w:tcPr>
            <w:tcW w:w="608"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3" w:type="pct"/>
            <w:vMerge w:val="continue"/>
            <w:noWrap w:val="0"/>
            <w:vAlign w:val="center"/>
          </w:tcPr>
          <w:p>
            <w:pPr>
              <w:widowControl w:val="0"/>
              <w:overflowPunct w:val="0"/>
              <w:spacing w:line="360" w:lineRule="exact"/>
              <w:jc w:val="both"/>
              <w:rPr>
                <w:rFonts w:hint="eastAsia" w:ascii="仿宋_GB2312" w:hAnsi="仿宋_GB2312" w:eastAsia="仿宋_GB2312" w:cs="仿宋_GB2312"/>
                <w:sz w:val="22"/>
                <w:szCs w:val="22"/>
              </w:rPr>
            </w:pPr>
          </w:p>
        </w:tc>
        <w:tc>
          <w:tcPr>
            <w:tcW w:w="1615" w:type="pct"/>
            <w:noWrap w:val="0"/>
            <w:vAlign w:val="center"/>
          </w:tcPr>
          <w:p>
            <w:pPr>
              <w:pStyle w:val="9"/>
              <w:spacing w:beforeAutospacing="0" w:afterAutospacing="0" w:line="360" w:lineRule="exac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11.其他业务内部控制</w:t>
            </w:r>
          </w:p>
        </w:tc>
        <w:tc>
          <w:tcPr>
            <w:tcW w:w="542" w:type="pct"/>
            <w:vMerge w:val="continue"/>
            <w:noWrap w:val="0"/>
            <w:vAlign w:val="center"/>
          </w:tcPr>
          <w:p>
            <w:pPr>
              <w:pStyle w:val="9"/>
              <w:spacing w:beforeAutospacing="0" w:afterAutospacing="0" w:line="360" w:lineRule="exact"/>
              <w:jc w:val="center"/>
              <w:rPr>
                <w:rFonts w:hint="eastAsia" w:ascii="仿宋_GB2312" w:hAnsi="仿宋_GB2312" w:eastAsia="仿宋_GB2312" w:cs="仿宋_GB2312"/>
                <w:color w:val="000000"/>
                <w:sz w:val="22"/>
                <w:szCs w:val="22"/>
              </w:rPr>
            </w:pPr>
          </w:p>
        </w:tc>
        <w:tc>
          <w:tcPr>
            <w:tcW w:w="569"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c>
          <w:tcPr>
            <w:tcW w:w="570"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c>
          <w:tcPr>
            <w:tcW w:w="608"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3" w:type="pct"/>
            <w:vMerge w:val="restart"/>
            <w:noWrap w:val="0"/>
            <w:vAlign w:val="center"/>
          </w:tcPr>
          <w:p>
            <w:pPr>
              <w:widowControl w:val="0"/>
              <w:overflowPunct w:val="0"/>
              <w:spacing w:line="360" w:lineRule="exact"/>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三、内部监督</w:t>
            </w:r>
          </w:p>
        </w:tc>
        <w:tc>
          <w:tcPr>
            <w:tcW w:w="1615" w:type="pct"/>
            <w:noWrap w:val="0"/>
            <w:vAlign w:val="center"/>
          </w:tcPr>
          <w:p>
            <w:pPr>
              <w:pStyle w:val="9"/>
              <w:spacing w:beforeAutospacing="0" w:afterAutospacing="0" w:line="360" w:lineRule="exact"/>
              <w:jc w:val="both"/>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12.内部监督机制建立情况</w:t>
            </w:r>
          </w:p>
        </w:tc>
        <w:tc>
          <w:tcPr>
            <w:tcW w:w="542" w:type="pct"/>
            <w:vMerge w:val="restart"/>
            <w:noWrap w:val="0"/>
            <w:vAlign w:val="center"/>
          </w:tcPr>
          <w:p>
            <w:pPr>
              <w:pStyle w:val="9"/>
              <w:spacing w:beforeAutospacing="0" w:afterAutospacing="0" w:line="360" w:lineRule="exact"/>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5</w:t>
            </w:r>
          </w:p>
        </w:tc>
        <w:tc>
          <w:tcPr>
            <w:tcW w:w="569"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c>
          <w:tcPr>
            <w:tcW w:w="570"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c>
          <w:tcPr>
            <w:tcW w:w="608"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3" w:type="pct"/>
            <w:vMerge w:val="continue"/>
            <w:noWrap w:val="0"/>
            <w:vAlign w:val="center"/>
          </w:tcPr>
          <w:p>
            <w:pPr>
              <w:widowControl w:val="0"/>
              <w:overflowPunct w:val="0"/>
              <w:spacing w:line="500" w:lineRule="exact"/>
              <w:jc w:val="both"/>
              <w:rPr>
                <w:rFonts w:hint="eastAsia" w:ascii="仿宋_GB2312" w:hAnsi="仿宋_GB2312" w:eastAsia="仿宋_GB2312" w:cs="仿宋_GB2312"/>
                <w:sz w:val="22"/>
                <w:szCs w:val="22"/>
              </w:rPr>
            </w:pPr>
          </w:p>
        </w:tc>
        <w:tc>
          <w:tcPr>
            <w:tcW w:w="1615" w:type="pct"/>
            <w:noWrap w:val="0"/>
            <w:vAlign w:val="center"/>
          </w:tcPr>
          <w:p>
            <w:pPr>
              <w:pStyle w:val="9"/>
              <w:spacing w:beforeAutospacing="0" w:afterAutospacing="0" w:line="360" w:lineRule="exact"/>
              <w:jc w:val="both"/>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13.内部监督机制实施情况</w:t>
            </w:r>
          </w:p>
        </w:tc>
        <w:tc>
          <w:tcPr>
            <w:tcW w:w="542" w:type="pct"/>
            <w:vMerge w:val="continue"/>
            <w:noWrap w:val="0"/>
            <w:vAlign w:val="center"/>
          </w:tcPr>
          <w:p>
            <w:pPr>
              <w:pStyle w:val="9"/>
              <w:spacing w:beforeAutospacing="0" w:afterAutospacing="0" w:line="360" w:lineRule="exact"/>
              <w:jc w:val="center"/>
              <w:rPr>
                <w:rFonts w:hint="eastAsia" w:ascii="仿宋_GB2312" w:hAnsi="仿宋_GB2312" w:eastAsia="仿宋_GB2312" w:cs="仿宋_GB2312"/>
                <w:color w:val="000000"/>
                <w:sz w:val="22"/>
                <w:szCs w:val="22"/>
              </w:rPr>
            </w:pPr>
          </w:p>
        </w:tc>
        <w:tc>
          <w:tcPr>
            <w:tcW w:w="569"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c>
          <w:tcPr>
            <w:tcW w:w="570"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c>
          <w:tcPr>
            <w:tcW w:w="608"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3251" w:type="pct"/>
            <w:gridSpan w:val="3"/>
            <w:noWrap w:val="0"/>
            <w:vAlign w:val="center"/>
          </w:tcPr>
          <w:p>
            <w:pPr>
              <w:pStyle w:val="9"/>
              <w:spacing w:beforeAutospacing="0" w:afterAutospacing="0" w:line="360" w:lineRule="exact"/>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sz w:val="22"/>
                <w:szCs w:val="22"/>
              </w:rPr>
              <w:t>其他情况</w:t>
            </w:r>
          </w:p>
        </w:tc>
        <w:tc>
          <w:tcPr>
            <w:tcW w:w="569"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c>
          <w:tcPr>
            <w:tcW w:w="570"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c>
          <w:tcPr>
            <w:tcW w:w="608"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8" w:type="pct"/>
            <w:gridSpan w:val="2"/>
            <w:noWrap w:val="0"/>
            <w:vAlign w:val="center"/>
          </w:tcPr>
          <w:p>
            <w:pPr>
              <w:pStyle w:val="9"/>
              <w:widowControl w:val="0"/>
              <w:spacing w:beforeAutospacing="0" w:afterAutospacing="0" w:line="360" w:lineRule="exact"/>
              <w:jc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sz w:val="22"/>
                <w:szCs w:val="22"/>
              </w:rPr>
              <w:t>合计</w:t>
            </w:r>
          </w:p>
        </w:tc>
        <w:tc>
          <w:tcPr>
            <w:tcW w:w="542" w:type="pct"/>
            <w:noWrap w:val="0"/>
            <w:vAlign w:val="center"/>
          </w:tcPr>
          <w:p>
            <w:pPr>
              <w:pStyle w:val="9"/>
              <w:widowControl w:val="0"/>
              <w:spacing w:beforeAutospacing="0" w:afterAutospacing="0" w:line="360" w:lineRule="exact"/>
              <w:jc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100</w:t>
            </w:r>
          </w:p>
        </w:tc>
        <w:tc>
          <w:tcPr>
            <w:tcW w:w="569"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b/>
                <w:bCs/>
                <w:color w:val="000000"/>
                <w:sz w:val="22"/>
                <w:szCs w:val="22"/>
              </w:rPr>
            </w:pPr>
          </w:p>
        </w:tc>
        <w:tc>
          <w:tcPr>
            <w:tcW w:w="570"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b/>
                <w:bCs/>
                <w:color w:val="000000"/>
                <w:sz w:val="22"/>
                <w:szCs w:val="22"/>
              </w:rPr>
            </w:pPr>
          </w:p>
        </w:tc>
        <w:tc>
          <w:tcPr>
            <w:tcW w:w="608" w:type="pct"/>
            <w:noWrap w:val="0"/>
            <w:vAlign w:val="top"/>
          </w:tcPr>
          <w:p>
            <w:pPr>
              <w:pStyle w:val="9"/>
              <w:widowControl w:val="0"/>
              <w:spacing w:beforeAutospacing="0" w:afterAutospacing="0" w:line="360" w:lineRule="exact"/>
              <w:jc w:val="center"/>
              <w:rPr>
                <w:rFonts w:hint="eastAsia" w:ascii="仿宋_GB2312" w:hAnsi="仿宋_GB2312" w:eastAsia="仿宋_GB2312" w:cs="仿宋_GB2312"/>
                <w:b/>
                <w:bCs/>
                <w:color w:val="000000"/>
                <w:sz w:val="22"/>
                <w:szCs w:val="22"/>
              </w:rPr>
            </w:pPr>
          </w:p>
        </w:tc>
      </w:tr>
    </w:tbl>
    <w:p>
      <w:pPr>
        <w:widowControl w:val="0"/>
        <w:autoSpaceDE w:val="0"/>
        <w:autoSpaceDN w:val="0"/>
        <w:spacing w:line="560" w:lineRule="exact"/>
        <w:ind w:firstLine="640" w:firstLineChars="200"/>
        <w:jc w:val="both"/>
        <w:textAlignment w:val="baseline"/>
        <w:rPr>
          <w:rFonts w:ascii="仿宋_GB2312" w:hAnsi="黑体" w:eastAsia="仿宋_GB2312"/>
          <w:color w:val="000000"/>
          <w:sz w:val="32"/>
          <w:szCs w:val="32"/>
          <w:lang w:val="en"/>
        </w:rPr>
      </w:pPr>
      <w:r>
        <w:rPr>
          <w:rFonts w:hint="eastAsia" w:ascii="仿宋_GB2312" w:hAnsi="黑体" w:eastAsia="仿宋_GB2312"/>
          <w:color w:val="000000"/>
          <w:sz w:val="32"/>
          <w:szCs w:val="32"/>
        </w:rPr>
        <w:t>经核实，本年度你单位</w:t>
      </w:r>
      <w:r>
        <w:rPr>
          <w:rFonts w:hint="eastAsia" w:ascii="仿宋_GB2312" w:hAnsi="黑体" w:eastAsia="仿宋_GB2312"/>
          <w:color w:val="000000"/>
          <w:sz w:val="32"/>
          <w:szCs w:val="32"/>
          <w:u w:val="single"/>
        </w:rPr>
        <w:t>存在</w:t>
      </w:r>
      <w:r>
        <w:rPr>
          <w:rFonts w:ascii="仿宋_GB2312" w:hAnsi="黑体" w:eastAsia="仿宋_GB2312"/>
          <w:color w:val="000000"/>
          <w:sz w:val="32"/>
          <w:szCs w:val="32"/>
          <w:u w:val="single"/>
          <w:lang w:val="en"/>
        </w:rPr>
        <w:t>/</w:t>
      </w:r>
      <w:r>
        <w:rPr>
          <w:rFonts w:hint="eastAsia" w:ascii="仿宋_GB2312" w:hAnsi="黑体" w:eastAsia="仿宋_GB2312"/>
          <w:color w:val="000000"/>
          <w:sz w:val="32"/>
          <w:szCs w:val="32"/>
          <w:u w:val="single"/>
          <w:lang w:val="en"/>
        </w:rPr>
        <w:t>不存在</w:t>
      </w:r>
      <w:r>
        <w:rPr>
          <w:rFonts w:hint="eastAsia" w:ascii="仿宋_GB2312" w:hAnsi="黑体" w:eastAsia="仿宋_GB2312"/>
          <w:color w:val="000000"/>
          <w:sz w:val="32"/>
          <w:szCs w:val="32"/>
        </w:rPr>
        <w:t>与内部控制相关的违法违纪行为，最终评价结果为</w:t>
      </w:r>
      <w:r>
        <w:rPr>
          <w:rFonts w:hint="eastAsia" w:ascii="仿宋_GB2312" w:hAnsi="黑体" w:eastAsia="仿宋_GB2312"/>
          <w:color w:val="000000"/>
          <w:sz w:val="32"/>
          <w:szCs w:val="32"/>
          <w:u w:val="single"/>
        </w:rPr>
        <w:t xml:space="preserve">      </w:t>
      </w:r>
      <w:r>
        <w:rPr>
          <w:rFonts w:hint="eastAsia" w:ascii="仿宋_GB2312" w:hAnsi="黑体" w:eastAsia="仿宋_GB2312"/>
          <w:color w:val="000000"/>
          <w:sz w:val="32"/>
          <w:szCs w:val="32"/>
        </w:rPr>
        <w:t>。</w:t>
      </w:r>
    </w:p>
    <w:p>
      <w:pPr>
        <w:autoSpaceDE w:val="0"/>
        <w:autoSpaceDN w:val="0"/>
        <w:spacing w:line="560" w:lineRule="exact"/>
        <w:ind w:firstLine="560" w:firstLineChars="200"/>
        <w:textAlignment w:val="baseline"/>
        <w:rPr>
          <w:rFonts w:hint="eastAsia" w:ascii="仿宋_GB2312" w:eastAsia="仿宋_GB2312"/>
          <w:b/>
          <w:bCs/>
          <w:sz w:val="32"/>
          <w:szCs w:val="32"/>
        </w:rPr>
      </w:pPr>
      <w:r>
        <w:rPr>
          <w:rFonts w:hint="eastAsia" w:ascii="仿宋_GB2312" w:hAnsi="仿宋_GB2312" w:eastAsia="仿宋_GB2312"/>
          <w:color w:val="000000"/>
          <w:sz w:val="28"/>
          <w:szCs w:val="28"/>
        </w:rPr>
        <w:t>〔</w:t>
      </w:r>
      <w:r>
        <w:rPr>
          <w:rFonts w:hint="eastAsia" w:ascii="仿宋_GB2312" w:hAnsi="黑体" w:eastAsia="仿宋_GB2312"/>
          <w:color w:val="000000"/>
          <w:sz w:val="28"/>
          <w:szCs w:val="28"/>
        </w:rPr>
        <w:t>说明：</w:t>
      </w:r>
      <w:r>
        <w:rPr>
          <w:rFonts w:hint="eastAsia" w:ascii="仿宋_GB2312" w:hAnsi="仿宋_GB2312" w:eastAsia="仿宋_GB2312" w:cs="仿宋_GB2312"/>
          <w:sz w:val="28"/>
          <w:szCs w:val="28"/>
        </w:rPr>
        <w:t>90（含）-100分为“优”、80（含）-90分为“良”、60（含）-80分为“中”、60分以下为“差”</w:t>
      </w:r>
      <w:r>
        <w:rPr>
          <w:rFonts w:hint="eastAsia" w:ascii="仿宋_GB2312" w:hAnsi="黑体" w:eastAsia="仿宋_GB2312"/>
          <w:color w:val="000000"/>
          <w:sz w:val="28"/>
          <w:szCs w:val="28"/>
        </w:rPr>
        <w:t>。若单位</w:t>
      </w:r>
      <w:r>
        <w:rPr>
          <w:rFonts w:hint="eastAsia" w:ascii="仿宋_GB2312" w:hAnsi="仿宋_GB2312" w:eastAsia="仿宋_GB2312" w:cs="仿宋_GB2312"/>
          <w:sz w:val="28"/>
          <w:szCs w:val="28"/>
        </w:rPr>
        <w:t>存在与内部控制相关的违法违纪行为的，则单位内部控制评价结果下调一档次。</w:t>
      </w:r>
      <w:r>
        <w:rPr>
          <w:rFonts w:hint="eastAsia" w:ascii="仿宋_GB2312" w:hAnsi="仿宋_GB2312" w:eastAsia="仿宋_GB2312"/>
          <w:color w:val="000000"/>
          <w:sz w:val="28"/>
          <w:szCs w:val="28"/>
        </w:rPr>
        <w:t>〕</w:t>
      </w:r>
    </w:p>
    <w:p>
      <w:pPr>
        <w:pStyle w:val="15"/>
        <w:numPr>
          <w:ilvl w:val="0"/>
          <w:numId w:val="7"/>
        </w:numPr>
        <w:spacing w:line="240" w:lineRule="auto"/>
        <w:ind w:firstLine="642" w:firstLineChars="200"/>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内部控制评价复核发现问题</w:t>
      </w:r>
    </w:p>
    <w:p>
      <w:pPr>
        <w:pStyle w:val="2"/>
        <w:ind w:firstLine="560"/>
        <w:rPr>
          <w:rFonts w:hint="eastAsia" w:eastAsia="仿宋_GB2312"/>
        </w:rPr>
      </w:pPr>
      <w:r>
        <w:rPr>
          <w:rFonts w:hint="eastAsia" w:hAnsi="仿宋_GB2312" w:eastAsia="仿宋_GB2312"/>
          <w:color w:val="000000"/>
          <w:sz w:val="28"/>
          <w:szCs w:val="28"/>
        </w:rPr>
        <w:t>经复核，发现你单位存在如下问题，请按照整改要求立即组织整改。</w:t>
      </w:r>
    </w:p>
    <w:tbl>
      <w:tblPr>
        <w:tblStyle w:val="10"/>
        <w:tblW w:w="52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1982"/>
        <w:gridCol w:w="1975"/>
        <w:gridCol w:w="1975"/>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0" w:type="pct"/>
            <w:noWrap w:val="0"/>
            <w:vAlign w:val="center"/>
          </w:tcPr>
          <w:p>
            <w:pPr>
              <w:widowControl w:val="0"/>
              <w:overflowPunct w:val="0"/>
              <w:spacing w:line="5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1117" w:type="pct"/>
            <w:noWrap w:val="0"/>
            <w:vAlign w:val="center"/>
          </w:tcPr>
          <w:p>
            <w:pPr>
              <w:widowControl w:val="0"/>
              <w:overflowPunct w:val="0"/>
              <w:spacing w:line="500" w:lineRule="exact"/>
              <w:jc w:val="center"/>
              <w:rPr>
                <w:rFonts w:ascii="仿宋_GB2312" w:hAnsi="仿宋_GB2312" w:eastAsia="仿宋_GB2312" w:cs="仿宋_GB2312"/>
                <w:b/>
                <w:bCs/>
                <w:kern w:val="2"/>
                <w:sz w:val="28"/>
                <w:szCs w:val="28"/>
              </w:rPr>
            </w:pPr>
            <w:r>
              <w:rPr>
                <w:rFonts w:hint="eastAsia" w:ascii="仿宋_GB2312" w:hAnsi="仿宋_GB2312" w:eastAsia="仿宋_GB2312" w:cs="仿宋_GB2312"/>
                <w:b/>
                <w:bCs/>
                <w:sz w:val="28"/>
                <w:szCs w:val="28"/>
              </w:rPr>
              <w:t>问题描述</w:t>
            </w:r>
          </w:p>
        </w:tc>
        <w:tc>
          <w:tcPr>
            <w:tcW w:w="1113" w:type="pct"/>
            <w:noWrap w:val="0"/>
            <w:vAlign w:val="center"/>
          </w:tcPr>
          <w:p>
            <w:pPr>
              <w:widowControl w:val="0"/>
              <w:overflowPunct w:val="0"/>
              <w:spacing w:line="5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认定依据</w:t>
            </w:r>
          </w:p>
        </w:tc>
        <w:tc>
          <w:tcPr>
            <w:tcW w:w="1113" w:type="pct"/>
            <w:noWrap w:val="0"/>
            <w:vAlign w:val="center"/>
          </w:tcPr>
          <w:p>
            <w:pPr>
              <w:widowControl w:val="0"/>
              <w:overflowPunct w:val="0"/>
              <w:spacing w:line="500" w:lineRule="exact"/>
              <w:jc w:val="center"/>
              <w:rPr>
                <w:rFonts w:ascii="仿宋_GB2312" w:hAnsi="仿宋_GB2312" w:eastAsia="仿宋_GB2312" w:cs="仿宋_GB2312"/>
                <w:b/>
                <w:bCs/>
                <w:kern w:val="2"/>
                <w:sz w:val="28"/>
                <w:szCs w:val="28"/>
              </w:rPr>
            </w:pPr>
            <w:r>
              <w:rPr>
                <w:rFonts w:hint="eastAsia" w:ascii="仿宋_GB2312" w:hAnsi="仿宋_GB2312" w:eastAsia="仿宋_GB2312" w:cs="仿宋_GB2312"/>
                <w:b/>
                <w:bCs/>
                <w:sz w:val="28"/>
                <w:szCs w:val="28"/>
              </w:rPr>
              <w:t>整改要求</w:t>
            </w:r>
          </w:p>
        </w:tc>
        <w:tc>
          <w:tcPr>
            <w:tcW w:w="1154" w:type="pct"/>
            <w:noWrap w:val="0"/>
            <w:vAlign w:val="top"/>
          </w:tcPr>
          <w:p>
            <w:pPr>
              <w:widowControl w:val="0"/>
              <w:overflowPunct w:val="0"/>
              <w:spacing w:line="500" w:lineRule="exact"/>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sz w:val="28"/>
                <w:szCs w:val="28"/>
              </w:rPr>
              <w:t>计划完成时间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pct"/>
            <w:noWrap w:val="0"/>
            <w:vAlign w:val="center"/>
          </w:tcPr>
          <w:p>
            <w:pPr>
              <w:pStyle w:val="9"/>
              <w:widowControl w:val="0"/>
              <w:spacing w:beforeAutospacing="0" w:afterAutospacing="0" w:line="5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1117" w:type="pct"/>
            <w:noWrap w:val="0"/>
            <w:vAlign w:val="center"/>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c>
          <w:tcPr>
            <w:tcW w:w="1113" w:type="pct"/>
            <w:noWrap w:val="0"/>
            <w:vAlign w:val="top"/>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c>
          <w:tcPr>
            <w:tcW w:w="1113" w:type="pct"/>
            <w:noWrap w:val="0"/>
            <w:vAlign w:val="top"/>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c>
          <w:tcPr>
            <w:tcW w:w="1154" w:type="pct"/>
            <w:noWrap w:val="0"/>
            <w:vAlign w:val="center"/>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pct"/>
            <w:noWrap w:val="0"/>
            <w:vAlign w:val="center"/>
          </w:tcPr>
          <w:p>
            <w:pPr>
              <w:pStyle w:val="9"/>
              <w:widowControl w:val="0"/>
              <w:spacing w:beforeAutospacing="0" w:afterAutospacing="0" w:line="5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1117" w:type="pct"/>
            <w:noWrap w:val="0"/>
            <w:vAlign w:val="center"/>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c>
          <w:tcPr>
            <w:tcW w:w="1113" w:type="pct"/>
            <w:noWrap w:val="0"/>
            <w:vAlign w:val="top"/>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c>
          <w:tcPr>
            <w:tcW w:w="1113" w:type="pct"/>
            <w:noWrap w:val="0"/>
            <w:vAlign w:val="top"/>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c>
          <w:tcPr>
            <w:tcW w:w="1154" w:type="pct"/>
            <w:noWrap w:val="0"/>
            <w:vAlign w:val="center"/>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 w:type="pct"/>
            <w:noWrap w:val="0"/>
            <w:vAlign w:val="center"/>
          </w:tcPr>
          <w:p>
            <w:pPr>
              <w:pStyle w:val="9"/>
              <w:widowControl w:val="0"/>
              <w:spacing w:beforeAutospacing="0" w:afterAutospacing="0" w:line="5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1117" w:type="pct"/>
            <w:noWrap w:val="0"/>
            <w:vAlign w:val="center"/>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c>
          <w:tcPr>
            <w:tcW w:w="1113" w:type="pct"/>
            <w:noWrap w:val="0"/>
            <w:vAlign w:val="top"/>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c>
          <w:tcPr>
            <w:tcW w:w="1113" w:type="pct"/>
            <w:noWrap w:val="0"/>
            <w:vAlign w:val="top"/>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c>
          <w:tcPr>
            <w:tcW w:w="1154" w:type="pct"/>
            <w:noWrap w:val="0"/>
            <w:vAlign w:val="center"/>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r>
    </w:tbl>
    <w:p>
      <w:pPr>
        <w:pStyle w:val="2"/>
        <w:ind w:firstLine="640"/>
        <w:rPr>
          <w:rFonts w:hint="eastAsia" w:hAnsi="黑体" w:eastAsia="仿宋_GB2312"/>
          <w:color w:val="000000"/>
          <w:sz w:val="32"/>
          <w:szCs w:val="32"/>
        </w:rPr>
        <w:sectPr>
          <w:footerReference r:id="rId4" w:type="default"/>
          <w:pgSz w:w="11906" w:h="16838"/>
          <w:pgMar w:top="1440" w:right="1800" w:bottom="1440" w:left="1800" w:header="851" w:footer="992" w:gutter="0"/>
          <w:cols w:space="720" w:num="1"/>
          <w:docGrid w:type="lines" w:linePitch="312" w:charSpace="0"/>
        </w:sectPr>
      </w:pPr>
      <w:r>
        <w:rPr>
          <w:rFonts w:hint="eastAsia" w:hAnsi="黑体" w:eastAsia="仿宋_GB2312"/>
          <w:color w:val="000000"/>
          <w:sz w:val="32"/>
          <w:szCs w:val="32"/>
        </w:rPr>
        <w:t xml:space="preserve">               </w:t>
      </w:r>
    </w:p>
    <w:p>
      <w:pPr>
        <w:widowControl w:val="0"/>
        <w:overflowPunct w:val="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附4</w:t>
      </w:r>
    </w:p>
    <w:p>
      <w:pPr>
        <w:widowControl w:val="0"/>
        <w:overflowPunct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部门内部控制评价指标体系</w:t>
      </w:r>
    </w:p>
    <w:tbl>
      <w:tblPr>
        <w:tblStyle w:val="10"/>
        <w:tblW w:w="15327" w:type="dxa"/>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304"/>
        <w:gridCol w:w="113"/>
        <w:gridCol w:w="1722"/>
        <w:gridCol w:w="4304"/>
        <w:gridCol w:w="796"/>
        <w:gridCol w:w="5478"/>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50" w:type="dxa"/>
            <w:noWrap w:val="0"/>
            <w:vAlign w:val="center"/>
          </w:tcPr>
          <w:p>
            <w:pPr>
              <w:spacing w:line="360" w:lineRule="exact"/>
              <w:jc w:val="center"/>
              <w:textAlignment w:val="center"/>
              <w:rPr>
                <w:rFonts w:ascii="宋体" w:hAnsi="宋体" w:cs="宋体"/>
                <w:b/>
                <w:color w:val="000000"/>
                <w:sz w:val="22"/>
                <w:szCs w:val="22"/>
              </w:rPr>
            </w:pPr>
            <w:r>
              <w:rPr>
                <w:rFonts w:hint="eastAsia" w:ascii="宋体" w:hAnsi="宋体" w:cs="宋体"/>
                <w:b/>
                <w:color w:val="000000"/>
                <w:sz w:val="22"/>
                <w:szCs w:val="22"/>
              </w:rPr>
              <w:t>评价</w:t>
            </w:r>
          </w:p>
          <w:p>
            <w:pPr>
              <w:spacing w:line="360" w:lineRule="exact"/>
              <w:jc w:val="center"/>
              <w:textAlignment w:val="center"/>
              <w:rPr>
                <w:rFonts w:ascii="宋体" w:hAnsi="宋体" w:cs="宋体"/>
                <w:b/>
                <w:color w:val="000000"/>
                <w:sz w:val="22"/>
                <w:szCs w:val="22"/>
              </w:rPr>
            </w:pPr>
            <w:r>
              <w:rPr>
                <w:rFonts w:hint="eastAsia" w:ascii="宋体" w:hAnsi="宋体" w:cs="宋体"/>
                <w:b/>
                <w:color w:val="000000"/>
                <w:sz w:val="22"/>
                <w:szCs w:val="22"/>
              </w:rPr>
              <w:t>类别</w:t>
            </w:r>
          </w:p>
        </w:tc>
        <w:tc>
          <w:tcPr>
            <w:tcW w:w="1417" w:type="dxa"/>
            <w:gridSpan w:val="2"/>
            <w:noWrap w:val="0"/>
            <w:vAlign w:val="center"/>
          </w:tcPr>
          <w:p>
            <w:pPr>
              <w:spacing w:line="360" w:lineRule="exact"/>
              <w:jc w:val="center"/>
              <w:textAlignment w:val="center"/>
              <w:rPr>
                <w:rFonts w:ascii="宋体" w:hAnsi="宋体" w:cs="宋体"/>
                <w:b/>
                <w:color w:val="000000"/>
                <w:sz w:val="22"/>
                <w:szCs w:val="22"/>
                <w:lang w:bidi="ar"/>
              </w:rPr>
            </w:pPr>
            <w:r>
              <w:rPr>
                <w:rFonts w:hint="eastAsia" w:ascii="宋体" w:hAnsi="宋体" w:cs="宋体"/>
                <w:b/>
                <w:color w:val="000000"/>
                <w:sz w:val="22"/>
                <w:szCs w:val="22"/>
                <w:lang w:bidi="ar"/>
              </w:rPr>
              <w:t>一级评价</w:t>
            </w:r>
          </w:p>
          <w:p>
            <w:pPr>
              <w:spacing w:line="360" w:lineRule="exact"/>
              <w:jc w:val="center"/>
              <w:textAlignment w:val="center"/>
              <w:rPr>
                <w:rFonts w:hint="eastAsia" w:ascii="宋体" w:hAnsi="宋体" w:cs="宋体"/>
                <w:b/>
                <w:color w:val="000000"/>
                <w:sz w:val="22"/>
                <w:szCs w:val="22"/>
              </w:rPr>
            </w:pPr>
            <w:r>
              <w:rPr>
                <w:rFonts w:hint="eastAsia" w:ascii="宋体" w:hAnsi="宋体" w:cs="宋体"/>
                <w:b/>
                <w:color w:val="000000"/>
                <w:sz w:val="22"/>
                <w:szCs w:val="22"/>
                <w:lang w:bidi="ar"/>
              </w:rPr>
              <w:t>指标</w:t>
            </w:r>
          </w:p>
        </w:tc>
        <w:tc>
          <w:tcPr>
            <w:tcW w:w="1722" w:type="dxa"/>
            <w:noWrap w:val="0"/>
            <w:vAlign w:val="center"/>
          </w:tcPr>
          <w:p>
            <w:pPr>
              <w:spacing w:line="360" w:lineRule="exact"/>
              <w:jc w:val="center"/>
              <w:textAlignment w:val="center"/>
              <w:rPr>
                <w:rFonts w:hint="eastAsia" w:ascii="宋体" w:hAnsi="宋体" w:cs="宋体"/>
                <w:b/>
                <w:color w:val="000000"/>
                <w:sz w:val="22"/>
                <w:szCs w:val="22"/>
              </w:rPr>
            </w:pPr>
            <w:r>
              <w:rPr>
                <w:rFonts w:hint="eastAsia" w:ascii="宋体" w:hAnsi="宋体" w:cs="宋体"/>
                <w:b/>
                <w:color w:val="000000"/>
                <w:sz w:val="22"/>
                <w:szCs w:val="22"/>
                <w:lang w:bidi="ar"/>
              </w:rPr>
              <w:t>二级评价指标</w:t>
            </w:r>
          </w:p>
        </w:tc>
        <w:tc>
          <w:tcPr>
            <w:tcW w:w="4304" w:type="dxa"/>
            <w:noWrap w:val="0"/>
            <w:vAlign w:val="center"/>
          </w:tcPr>
          <w:p>
            <w:pPr>
              <w:spacing w:line="360" w:lineRule="exact"/>
              <w:jc w:val="center"/>
              <w:textAlignment w:val="center"/>
              <w:rPr>
                <w:rFonts w:hint="eastAsia" w:ascii="宋体" w:hAnsi="宋体" w:cs="宋体"/>
                <w:b/>
                <w:color w:val="000000"/>
                <w:sz w:val="22"/>
                <w:szCs w:val="22"/>
              </w:rPr>
            </w:pPr>
            <w:r>
              <w:rPr>
                <w:rFonts w:hint="eastAsia" w:ascii="宋体" w:hAnsi="宋体" w:cs="宋体"/>
                <w:b/>
                <w:color w:val="000000"/>
                <w:sz w:val="22"/>
                <w:szCs w:val="22"/>
                <w:lang w:bidi="ar"/>
              </w:rPr>
              <w:t>评价内容</w:t>
            </w:r>
          </w:p>
        </w:tc>
        <w:tc>
          <w:tcPr>
            <w:tcW w:w="796" w:type="dxa"/>
            <w:noWrap w:val="0"/>
            <w:vAlign w:val="center"/>
          </w:tcPr>
          <w:p>
            <w:pPr>
              <w:spacing w:line="360" w:lineRule="exact"/>
              <w:jc w:val="center"/>
              <w:textAlignment w:val="center"/>
              <w:rPr>
                <w:rFonts w:hint="eastAsia" w:ascii="宋体" w:hAnsi="宋体" w:cs="宋体"/>
                <w:b/>
                <w:color w:val="000000"/>
                <w:sz w:val="22"/>
                <w:szCs w:val="22"/>
              </w:rPr>
            </w:pPr>
            <w:r>
              <w:rPr>
                <w:rFonts w:hint="eastAsia" w:ascii="宋体" w:hAnsi="宋体" w:cs="宋体"/>
                <w:b/>
                <w:color w:val="000000"/>
                <w:sz w:val="22"/>
                <w:szCs w:val="22"/>
                <w:lang w:bidi="ar"/>
              </w:rPr>
              <w:t>分值</w:t>
            </w:r>
          </w:p>
        </w:tc>
        <w:tc>
          <w:tcPr>
            <w:tcW w:w="5478" w:type="dxa"/>
            <w:noWrap w:val="0"/>
            <w:vAlign w:val="center"/>
          </w:tcPr>
          <w:p>
            <w:pPr>
              <w:spacing w:line="360" w:lineRule="exact"/>
              <w:jc w:val="center"/>
              <w:textAlignment w:val="center"/>
              <w:rPr>
                <w:rFonts w:hint="eastAsia" w:ascii="宋体" w:hAnsi="宋体" w:cs="宋体"/>
                <w:b/>
                <w:color w:val="000000"/>
                <w:sz w:val="22"/>
                <w:szCs w:val="22"/>
                <w:lang w:bidi="ar"/>
              </w:rPr>
            </w:pPr>
            <w:r>
              <w:rPr>
                <w:rFonts w:hint="eastAsia" w:ascii="宋体" w:hAnsi="宋体" w:cs="宋体"/>
                <w:b/>
                <w:color w:val="000000"/>
                <w:sz w:val="22"/>
                <w:szCs w:val="22"/>
                <w:lang w:bidi="ar"/>
              </w:rPr>
              <w:t>评分细则</w:t>
            </w:r>
          </w:p>
        </w:tc>
        <w:tc>
          <w:tcPr>
            <w:tcW w:w="660" w:type="dxa"/>
            <w:noWrap w:val="0"/>
            <w:vAlign w:val="center"/>
          </w:tcPr>
          <w:p>
            <w:pPr>
              <w:spacing w:line="360" w:lineRule="exact"/>
              <w:jc w:val="center"/>
              <w:textAlignment w:val="center"/>
              <w:rPr>
                <w:rFonts w:hint="eastAsia" w:ascii="宋体" w:hAnsi="宋体" w:cs="宋体"/>
                <w:b/>
                <w:color w:val="000000"/>
                <w:sz w:val="22"/>
                <w:szCs w:val="22"/>
                <w:lang w:bidi="ar"/>
              </w:rPr>
            </w:pPr>
            <w:r>
              <w:rPr>
                <w:rFonts w:hint="eastAsia" w:ascii="宋体" w:hAnsi="宋体" w:cs="宋体"/>
                <w:b/>
                <w:color w:val="000000"/>
                <w:sz w:val="22"/>
                <w:szCs w:val="22"/>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950" w:type="dxa"/>
            <w:vMerge w:val="restart"/>
            <w:noWrap w:val="0"/>
            <w:vAlign w:val="center"/>
          </w:tcPr>
          <w:p>
            <w:pPr>
              <w:spacing w:line="360" w:lineRule="exact"/>
              <w:jc w:val="center"/>
              <w:rPr>
                <w:rFonts w:hint="eastAsia" w:ascii="宋体" w:hAnsi="宋体" w:cs="宋体"/>
                <w:color w:val="000000"/>
                <w:sz w:val="22"/>
                <w:szCs w:val="22"/>
              </w:rPr>
            </w:pPr>
            <w:r>
              <w:rPr>
                <w:rFonts w:hint="eastAsia" w:ascii="宋体" w:hAnsi="宋体" w:cs="宋体"/>
                <w:color w:val="000000"/>
                <w:sz w:val="22"/>
                <w:szCs w:val="22"/>
              </w:rPr>
              <w:t>一、单位层面内部控制</w:t>
            </w:r>
          </w:p>
          <w:p>
            <w:pPr>
              <w:spacing w:line="360" w:lineRule="exact"/>
              <w:jc w:val="center"/>
              <w:textAlignment w:val="center"/>
              <w:rPr>
                <w:rFonts w:hint="eastAsia" w:ascii="宋体" w:hAnsi="宋体" w:cs="宋体"/>
                <w:color w:val="000000"/>
                <w:sz w:val="22"/>
                <w:szCs w:val="22"/>
              </w:rPr>
            </w:pPr>
          </w:p>
        </w:tc>
        <w:tc>
          <w:tcPr>
            <w:tcW w:w="1417" w:type="dxa"/>
            <w:gridSpan w:val="2"/>
            <w:noWrap w:val="0"/>
            <w:vAlign w:val="center"/>
          </w:tcPr>
          <w:p>
            <w:pPr>
              <w:spacing w:line="360" w:lineRule="exact"/>
              <w:jc w:val="center"/>
              <w:textAlignment w:val="center"/>
              <w:rPr>
                <w:rFonts w:ascii="宋体" w:hAnsi="宋体" w:cs="宋体"/>
                <w:color w:val="000000"/>
                <w:sz w:val="22"/>
                <w:szCs w:val="22"/>
                <w:lang w:bidi="ar"/>
              </w:rPr>
            </w:pPr>
            <w:r>
              <w:rPr>
                <w:rFonts w:hint="eastAsia" w:ascii="宋体" w:hAnsi="宋体" w:cs="宋体"/>
                <w:color w:val="000000"/>
                <w:sz w:val="22"/>
                <w:szCs w:val="22"/>
                <w:lang w:bidi="ar"/>
              </w:rPr>
              <w:t>议事决策</w:t>
            </w:r>
          </w:p>
          <w:p>
            <w:pPr>
              <w:spacing w:line="36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机制</w:t>
            </w:r>
          </w:p>
        </w:tc>
        <w:tc>
          <w:tcPr>
            <w:tcW w:w="1722" w:type="dxa"/>
            <w:noWrap w:val="0"/>
            <w:vAlign w:val="center"/>
          </w:tcPr>
          <w:p>
            <w:pPr>
              <w:spacing w:line="360" w:lineRule="exact"/>
              <w:textAlignment w:val="center"/>
              <w:rPr>
                <w:rFonts w:ascii="宋体" w:hAnsi="宋体" w:cs="宋体"/>
                <w:color w:val="000000"/>
                <w:sz w:val="22"/>
                <w:szCs w:val="22"/>
              </w:rPr>
            </w:pPr>
            <w:r>
              <w:rPr>
                <w:rFonts w:hint="eastAsia" w:ascii="宋体" w:hAnsi="宋体" w:cs="宋体"/>
                <w:color w:val="000000"/>
                <w:sz w:val="22"/>
                <w:szCs w:val="22"/>
                <w:lang w:bidi="ar"/>
              </w:rPr>
              <w:t>“三重一大”集体决策机制建立与实施</w:t>
            </w:r>
          </w:p>
        </w:tc>
        <w:tc>
          <w:tcPr>
            <w:tcW w:w="4304" w:type="dxa"/>
            <w:noWrap w:val="0"/>
            <w:vAlign w:val="center"/>
          </w:tcPr>
          <w:p>
            <w:pPr>
              <w:spacing w:line="360" w:lineRule="exact"/>
              <w:jc w:val="both"/>
              <w:textAlignment w:val="center"/>
              <w:rPr>
                <w:rFonts w:hint="eastAsia" w:ascii="宋体" w:hAnsi="宋体" w:cs="宋体"/>
                <w:color w:val="000000"/>
                <w:sz w:val="22"/>
                <w:szCs w:val="22"/>
              </w:rPr>
            </w:pPr>
            <w:r>
              <w:rPr>
                <w:rFonts w:hint="eastAsia" w:ascii="宋体" w:hAnsi="宋体" w:cs="宋体"/>
                <w:color w:val="000000"/>
                <w:sz w:val="22"/>
                <w:szCs w:val="22"/>
                <w:lang w:bidi="ar"/>
              </w:rPr>
              <w:t>单位是否建立“三重一大”集体决策机制，明确重大事项的划分标准、议事规则及会议记录过程等内容，并严格执行。</w:t>
            </w:r>
          </w:p>
        </w:tc>
        <w:tc>
          <w:tcPr>
            <w:tcW w:w="796" w:type="dxa"/>
            <w:noWrap w:val="0"/>
            <w:vAlign w:val="center"/>
          </w:tcPr>
          <w:p>
            <w:pPr>
              <w:spacing w:line="360" w:lineRule="exact"/>
              <w:jc w:val="center"/>
              <w:rPr>
                <w:rFonts w:hint="eastAsia" w:ascii="宋体" w:hAnsi="宋体" w:cs="宋体"/>
                <w:color w:val="000000"/>
                <w:sz w:val="22"/>
                <w:szCs w:val="22"/>
              </w:rPr>
            </w:pPr>
            <w:r>
              <w:rPr>
                <w:rFonts w:hint="eastAsia" w:ascii="宋体" w:hAnsi="宋体" w:cs="宋体"/>
                <w:color w:val="000000"/>
                <w:sz w:val="22"/>
                <w:szCs w:val="22"/>
              </w:rPr>
              <w:t>3</w:t>
            </w:r>
          </w:p>
        </w:tc>
        <w:tc>
          <w:tcPr>
            <w:tcW w:w="5478" w:type="dxa"/>
            <w:noWrap w:val="0"/>
            <w:vAlign w:val="center"/>
          </w:tcPr>
          <w:p>
            <w:pPr>
              <w:spacing w:line="360" w:lineRule="exact"/>
              <w:rPr>
                <w:rFonts w:hint="eastAsia" w:ascii="宋体" w:hAnsi="宋体" w:cs="宋体"/>
                <w:color w:val="000000"/>
                <w:sz w:val="22"/>
                <w:szCs w:val="22"/>
              </w:rPr>
            </w:pPr>
            <w:r>
              <w:rPr>
                <w:rFonts w:hint="eastAsia" w:ascii="宋体" w:hAnsi="宋体" w:cs="宋体"/>
                <w:color w:val="000000"/>
                <w:sz w:val="22"/>
                <w:szCs w:val="22"/>
              </w:rPr>
              <w:t>已建立健全并有效实施集体决策机制的，得满分；每发现一家机制设计不完善、不明确或未严格执行有关规定的，</w:t>
            </w:r>
            <w:r>
              <w:rPr>
                <w:rFonts w:hint="eastAsia" w:ascii="宋体" w:hAnsi="宋体" w:cs="宋体"/>
                <w:color w:val="000000"/>
                <w:sz w:val="22"/>
                <w:szCs w:val="22"/>
                <w:lang w:bidi="ar"/>
              </w:rPr>
              <w:t>扣1分</w:t>
            </w:r>
            <w:r>
              <w:rPr>
                <w:rFonts w:hint="eastAsia" w:ascii="宋体" w:hAnsi="宋体" w:cs="宋体"/>
                <w:color w:val="000000"/>
                <w:sz w:val="22"/>
                <w:szCs w:val="22"/>
              </w:rPr>
              <w:t>。</w:t>
            </w: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950" w:type="dxa"/>
            <w:vMerge w:val="continue"/>
            <w:noWrap w:val="0"/>
            <w:vAlign w:val="center"/>
          </w:tcPr>
          <w:p>
            <w:pPr>
              <w:spacing w:line="360" w:lineRule="exact"/>
              <w:jc w:val="center"/>
              <w:rPr>
                <w:rFonts w:hint="eastAsia" w:ascii="宋体" w:hAnsi="宋体" w:cs="宋体"/>
                <w:color w:val="000000"/>
                <w:sz w:val="22"/>
                <w:szCs w:val="22"/>
              </w:rPr>
            </w:pPr>
          </w:p>
        </w:tc>
        <w:tc>
          <w:tcPr>
            <w:tcW w:w="1417" w:type="dxa"/>
            <w:gridSpan w:val="2"/>
            <w:vMerge w:val="restart"/>
            <w:noWrap w:val="0"/>
            <w:vAlign w:val="center"/>
          </w:tcPr>
          <w:p>
            <w:pPr>
              <w:spacing w:line="360" w:lineRule="exact"/>
              <w:jc w:val="center"/>
              <w:textAlignment w:val="center"/>
              <w:rPr>
                <w:rFonts w:ascii="宋体" w:hAnsi="宋体" w:cs="宋体"/>
                <w:color w:val="000000"/>
                <w:sz w:val="22"/>
                <w:szCs w:val="22"/>
                <w:lang w:bidi="ar"/>
              </w:rPr>
            </w:pPr>
            <w:r>
              <w:rPr>
                <w:rFonts w:hint="eastAsia" w:ascii="宋体" w:hAnsi="宋体" w:cs="宋体"/>
                <w:color w:val="000000"/>
                <w:sz w:val="22"/>
                <w:szCs w:val="22"/>
                <w:lang w:bidi="ar"/>
              </w:rPr>
              <w:t>权力制衡</w:t>
            </w:r>
          </w:p>
          <w:p>
            <w:pPr>
              <w:spacing w:line="36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机制</w:t>
            </w:r>
          </w:p>
        </w:tc>
        <w:tc>
          <w:tcPr>
            <w:tcW w:w="1722" w:type="dxa"/>
            <w:noWrap w:val="0"/>
            <w:vAlign w:val="center"/>
          </w:tcPr>
          <w:p>
            <w:pPr>
              <w:spacing w:line="360" w:lineRule="exact"/>
              <w:textAlignment w:val="center"/>
              <w:rPr>
                <w:rFonts w:hint="eastAsia" w:ascii="宋体" w:hAnsi="宋体" w:cs="宋体"/>
                <w:color w:val="000000"/>
                <w:sz w:val="22"/>
                <w:szCs w:val="22"/>
              </w:rPr>
            </w:pPr>
            <w:r>
              <w:rPr>
                <w:rFonts w:hint="eastAsia" w:ascii="宋体" w:hAnsi="宋体" w:cs="宋体"/>
                <w:color w:val="000000"/>
                <w:sz w:val="22"/>
                <w:szCs w:val="22"/>
                <w:lang w:bidi="ar"/>
              </w:rPr>
              <w:t>分事行权</w:t>
            </w:r>
          </w:p>
        </w:tc>
        <w:tc>
          <w:tcPr>
            <w:tcW w:w="4304" w:type="dxa"/>
            <w:noWrap w:val="0"/>
            <w:vAlign w:val="center"/>
          </w:tcPr>
          <w:p>
            <w:pPr>
              <w:spacing w:line="360" w:lineRule="exact"/>
              <w:jc w:val="both"/>
              <w:textAlignment w:val="center"/>
              <w:rPr>
                <w:rFonts w:hint="eastAsia" w:ascii="宋体" w:hAnsi="宋体" w:cs="宋体"/>
                <w:color w:val="000000"/>
                <w:sz w:val="22"/>
                <w:szCs w:val="22"/>
              </w:rPr>
            </w:pPr>
            <w:r>
              <w:rPr>
                <w:rFonts w:hint="eastAsia" w:ascii="宋体" w:hAnsi="宋体" w:cs="宋体"/>
                <w:color w:val="000000"/>
                <w:sz w:val="22"/>
                <w:szCs w:val="22"/>
                <w:lang w:bidi="ar"/>
              </w:rPr>
              <w:t>对经济业务活动的决策、执行、监督，单位是否明确分工、相互分离、分别行权。</w:t>
            </w:r>
          </w:p>
        </w:tc>
        <w:tc>
          <w:tcPr>
            <w:tcW w:w="796" w:type="dxa"/>
            <w:noWrap w:val="0"/>
            <w:vAlign w:val="center"/>
          </w:tcPr>
          <w:p>
            <w:pPr>
              <w:spacing w:line="360" w:lineRule="exact"/>
              <w:jc w:val="center"/>
              <w:rPr>
                <w:rFonts w:hint="eastAsia" w:ascii="宋体" w:hAnsi="宋体" w:cs="宋体"/>
                <w:color w:val="000000"/>
                <w:sz w:val="22"/>
                <w:szCs w:val="22"/>
              </w:rPr>
            </w:pPr>
            <w:r>
              <w:rPr>
                <w:rFonts w:hint="eastAsia" w:ascii="宋体" w:hAnsi="宋体" w:cs="宋体"/>
                <w:color w:val="000000"/>
                <w:sz w:val="22"/>
                <w:szCs w:val="22"/>
              </w:rPr>
              <w:t>1</w:t>
            </w:r>
          </w:p>
        </w:tc>
        <w:tc>
          <w:tcPr>
            <w:tcW w:w="5478" w:type="dxa"/>
            <w:noWrap w:val="0"/>
            <w:vAlign w:val="center"/>
          </w:tcPr>
          <w:p>
            <w:pPr>
              <w:spacing w:line="360" w:lineRule="exact"/>
              <w:rPr>
                <w:rFonts w:hint="eastAsia" w:ascii="宋体" w:hAnsi="宋体" w:cs="宋体"/>
                <w:color w:val="000000"/>
                <w:sz w:val="22"/>
                <w:szCs w:val="22"/>
              </w:rPr>
            </w:pPr>
            <w:r>
              <w:rPr>
                <w:rFonts w:hint="eastAsia" w:ascii="宋体" w:hAnsi="宋体" w:cs="宋体"/>
                <w:color w:val="000000"/>
                <w:sz w:val="22"/>
                <w:szCs w:val="22"/>
              </w:rPr>
              <w:t>已建立健全分事行权机制并有效实施的，得满分；每发现一家机制建立不完善、覆盖不全面或未严格执行的，视情况</w:t>
            </w:r>
            <w:r>
              <w:rPr>
                <w:rFonts w:hint="eastAsia" w:ascii="宋体" w:hAnsi="宋体" w:cs="宋体"/>
                <w:color w:val="000000"/>
                <w:sz w:val="22"/>
                <w:szCs w:val="22"/>
                <w:lang w:bidi="ar"/>
              </w:rPr>
              <w:t>扣0.2分</w:t>
            </w:r>
            <w:r>
              <w:rPr>
                <w:rFonts w:hint="eastAsia" w:ascii="宋体" w:hAnsi="宋体" w:cs="宋体"/>
                <w:color w:val="000000"/>
                <w:sz w:val="22"/>
                <w:szCs w:val="22"/>
              </w:rPr>
              <w:t>。</w:t>
            </w: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50" w:type="dxa"/>
            <w:vMerge w:val="continue"/>
            <w:noWrap w:val="0"/>
            <w:vAlign w:val="center"/>
          </w:tcPr>
          <w:p>
            <w:pPr>
              <w:spacing w:line="360" w:lineRule="exact"/>
              <w:jc w:val="center"/>
              <w:textAlignment w:val="center"/>
              <w:rPr>
                <w:rFonts w:hint="eastAsia" w:ascii="宋体" w:hAnsi="宋体" w:cs="宋体"/>
                <w:color w:val="000000"/>
                <w:sz w:val="22"/>
                <w:szCs w:val="22"/>
              </w:rPr>
            </w:pPr>
          </w:p>
        </w:tc>
        <w:tc>
          <w:tcPr>
            <w:tcW w:w="1417" w:type="dxa"/>
            <w:gridSpan w:val="2"/>
            <w:vMerge w:val="continue"/>
            <w:noWrap w:val="0"/>
            <w:vAlign w:val="center"/>
          </w:tcPr>
          <w:p>
            <w:pPr>
              <w:spacing w:line="360" w:lineRule="exact"/>
              <w:jc w:val="center"/>
              <w:textAlignment w:val="center"/>
              <w:rPr>
                <w:rFonts w:hint="eastAsia" w:ascii="宋体" w:hAnsi="宋体" w:cs="宋体"/>
                <w:color w:val="000000"/>
                <w:sz w:val="22"/>
                <w:szCs w:val="22"/>
                <w:lang w:bidi="ar"/>
              </w:rPr>
            </w:pPr>
          </w:p>
        </w:tc>
        <w:tc>
          <w:tcPr>
            <w:tcW w:w="1722" w:type="dxa"/>
            <w:noWrap w:val="0"/>
            <w:vAlign w:val="center"/>
          </w:tcPr>
          <w:p>
            <w:pPr>
              <w:spacing w:line="360" w:lineRule="exact"/>
              <w:textAlignment w:val="center"/>
              <w:rPr>
                <w:rFonts w:hint="eastAsia" w:ascii="宋体" w:hAnsi="宋体" w:cs="宋体"/>
                <w:color w:val="000000"/>
                <w:sz w:val="22"/>
                <w:szCs w:val="22"/>
              </w:rPr>
            </w:pPr>
            <w:r>
              <w:rPr>
                <w:rFonts w:hint="eastAsia" w:ascii="宋体" w:hAnsi="宋体" w:cs="宋体"/>
                <w:color w:val="000000"/>
                <w:sz w:val="22"/>
                <w:szCs w:val="22"/>
                <w:lang w:bidi="ar"/>
              </w:rPr>
              <w:t>分岗设权</w:t>
            </w:r>
          </w:p>
        </w:tc>
        <w:tc>
          <w:tcPr>
            <w:tcW w:w="4304" w:type="dxa"/>
            <w:noWrap w:val="0"/>
            <w:vAlign w:val="center"/>
          </w:tcPr>
          <w:p>
            <w:pPr>
              <w:spacing w:line="360" w:lineRule="exact"/>
              <w:jc w:val="both"/>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单位内部控制关键岗位是否实现不相容岗位相互分离。</w:t>
            </w:r>
          </w:p>
        </w:tc>
        <w:tc>
          <w:tcPr>
            <w:tcW w:w="796" w:type="dxa"/>
            <w:noWrap w:val="0"/>
            <w:vAlign w:val="center"/>
          </w:tcPr>
          <w:p>
            <w:pPr>
              <w:spacing w:line="360" w:lineRule="exact"/>
              <w:jc w:val="center"/>
              <w:rPr>
                <w:rFonts w:ascii="宋体" w:hAnsi="宋体" w:cs="宋体"/>
                <w:color w:val="000000"/>
                <w:sz w:val="22"/>
                <w:szCs w:val="22"/>
              </w:rPr>
            </w:pPr>
            <w:r>
              <w:rPr>
                <w:rFonts w:hint="eastAsia" w:ascii="宋体" w:hAnsi="宋体" w:cs="宋体"/>
                <w:color w:val="000000"/>
                <w:sz w:val="22"/>
                <w:szCs w:val="22"/>
              </w:rPr>
              <w:t>1</w:t>
            </w:r>
          </w:p>
        </w:tc>
        <w:tc>
          <w:tcPr>
            <w:tcW w:w="5478" w:type="dxa"/>
            <w:noWrap w:val="0"/>
            <w:vAlign w:val="center"/>
          </w:tcPr>
          <w:p>
            <w:pPr>
              <w:spacing w:line="360" w:lineRule="exact"/>
              <w:rPr>
                <w:rFonts w:hint="eastAsia" w:ascii="宋体" w:hAnsi="宋体" w:cs="宋体"/>
                <w:color w:val="000000"/>
                <w:sz w:val="22"/>
                <w:szCs w:val="22"/>
              </w:rPr>
            </w:pPr>
            <w:r>
              <w:rPr>
                <w:rFonts w:hint="eastAsia" w:ascii="宋体" w:hAnsi="宋体" w:cs="宋体"/>
                <w:color w:val="000000"/>
                <w:sz w:val="22"/>
                <w:szCs w:val="22"/>
              </w:rPr>
              <w:t>已规范建立分岗设权机制并有效实施的，得满分；每发现一家机制建立不完善、覆盖不全面或未严格执行的，视情况</w:t>
            </w:r>
            <w:r>
              <w:rPr>
                <w:rFonts w:hint="eastAsia" w:ascii="宋体" w:hAnsi="宋体" w:cs="宋体"/>
                <w:color w:val="000000"/>
                <w:sz w:val="22"/>
                <w:szCs w:val="22"/>
                <w:lang w:bidi="ar"/>
              </w:rPr>
              <w:t>扣0.2分</w:t>
            </w:r>
            <w:r>
              <w:rPr>
                <w:rFonts w:hint="eastAsia" w:ascii="宋体" w:hAnsi="宋体" w:cs="宋体"/>
                <w:color w:val="000000"/>
                <w:sz w:val="22"/>
                <w:szCs w:val="22"/>
              </w:rPr>
              <w:t>。</w:t>
            </w: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950" w:type="dxa"/>
            <w:vMerge w:val="continue"/>
            <w:noWrap w:val="0"/>
            <w:vAlign w:val="center"/>
          </w:tcPr>
          <w:p>
            <w:pPr>
              <w:spacing w:line="360" w:lineRule="exact"/>
              <w:jc w:val="center"/>
              <w:textAlignment w:val="center"/>
              <w:rPr>
                <w:rFonts w:hint="eastAsia" w:ascii="宋体" w:hAnsi="宋体" w:cs="宋体"/>
                <w:color w:val="000000"/>
                <w:sz w:val="22"/>
                <w:szCs w:val="22"/>
              </w:rPr>
            </w:pPr>
          </w:p>
        </w:tc>
        <w:tc>
          <w:tcPr>
            <w:tcW w:w="1417" w:type="dxa"/>
            <w:gridSpan w:val="2"/>
            <w:vMerge w:val="continue"/>
            <w:noWrap w:val="0"/>
            <w:vAlign w:val="center"/>
          </w:tcPr>
          <w:p>
            <w:pPr>
              <w:spacing w:line="360" w:lineRule="exact"/>
              <w:jc w:val="center"/>
              <w:textAlignment w:val="center"/>
              <w:rPr>
                <w:rFonts w:hint="eastAsia" w:ascii="宋体" w:hAnsi="宋体" w:cs="宋体"/>
                <w:color w:val="000000"/>
                <w:sz w:val="22"/>
                <w:szCs w:val="22"/>
                <w:lang w:bidi="ar"/>
              </w:rPr>
            </w:pPr>
          </w:p>
        </w:tc>
        <w:tc>
          <w:tcPr>
            <w:tcW w:w="1722" w:type="dxa"/>
            <w:noWrap w:val="0"/>
            <w:vAlign w:val="center"/>
          </w:tcPr>
          <w:p>
            <w:pPr>
              <w:spacing w:line="360" w:lineRule="exact"/>
              <w:textAlignment w:val="center"/>
              <w:rPr>
                <w:rFonts w:hint="eastAsia" w:ascii="宋体" w:hAnsi="宋体" w:cs="宋体"/>
                <w:color w:val="000000"/>
                <w:sz w:val="22"/>
                <w:szCs w:val="22"/>
              </w:rPr>
            </w:pPr>
            <w:r>
              <w:rPr>
                <w:rFonts w:hint="eastAsia" w:ascii="宋体" w:hAnsi="宋体" w:cs="宋体"/>
                <w:color w:val="000000"/>
                <w:sz w:val="22"/>
                <w:szCs w:val="22"/>
              </w:rPr>
              <w:t>分级授权</w:t>
            </w:r>
          </w:p>
        </w:tc>
        <w:tc>
          <w:tcPr>
            <w:tcW w:w="4304" w:type="dxa"/>
            <w:noWrap w:val="0"/>
            <w:vAlign w:val="center"/>
          </w:tcPr>
          <w:p>
            <w:pPr>
              <w:spacing w:line="360" w:lineRule="exact"/>
              <w:jc w:val="both"/>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单位是否根据不同管理层级和工作岗位，依法依规授予适当权限。</w:t>
            </w:r>
          </w:p>
        </w:tc>
        <w:tc>
          <w:tcPr>
            <w:tcW w:w="796" w:type="dxa"/>
            <w:noWrap w:val="0"/>
            <w:vAlign w:val="center"/>
          </w:tcPr>
          <w:p>
            <w:pPr>
              <w:spacing w:line="360" w:lineRule="exact"/>
              <w:jc w:val="center"/>
              <w:rPr>
                <w:rFonts w:ascii="宋体" w:hAnsi="宋体" w:cs="宋体"/>
                <w:color w:val="000000"/>
                <w:sz w:val="22"/>
                <w:szCs w:val="22"/>
              </w:rPr>
            </w:pPr>
            <w:r>
              <w:rPr>
                <w:rFonts w:hint="eastAsia" w:ascii="宋体" w:hAnsi="宋体" w:cs="宋体"/>
                <w:color w:val="000000"/>
                <w:sz w:val="22"/>
                <w:szCs w:val="22"/>
              </w:rPr>
              <w:t>1</w:t>
            </w:r>
          </w:p>
        </w:tc>
        <w:tc>
          <w:tcPr>
            <w:tcW w:w="5478" w:type="dxa"/>
            <w:noWrap w:val="0"/>
            <w:vAlign w:val="center"/>
          </w:tcPr>
          <w:p>
            <w:pPr>
              <w:spacing w:line="360" w:lineRule="exact"/>
              <w:rPr>
                <w:rFonts w:hint="eastAsia" w:ascii="宋体" w:hAnsi="宋体" w:cs="宋体"/>
                <w:color w:val="000000"/>
                <w:sz w:val="22"/>
                <w:szCs w:val="22"/>
              </w:rPr>
            </w:pPr>
            <w:r>
              <w:rPr>
                <w:rFonts w:hint="eastAsia" w:ascii="宋体" w:hAnsi="宋体" w:cs="宋体"/>
                <w:color w:val="000000"/>
                <w:sz w:val="22"/>
                <w:szCs w:val="22"/>
              </w:rPr>
              <w:t>已建立健全分级授权机制并有效实施的，得满分；每发现一家授权不当、越权办事的，扣0.2分，扣完为止。</w:t>
            </w: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blHeader/>
        </w:trPr>
        <w:tc>
          <w:tcPr>
            <w:tcW w:w="950" w:type="dxa"/>
            <w:vMerge w:val="continue"/>
            <w:noWrap w:val="0"/>
            <w:vAlign w:val="center"/>
          </w:tcPr>
          <w:p>
            <w:pPr>
              <w:spacing w:line="360" w:lineRule="exact"/>
              <w:jc w:val="center"/>
              <w:textAlignment w:val="center"/>
              <w:rPr>
                <w:rFonts w:hint="eastAsia" w:ascii="宋体" w:hAnsi="宋体" w:cs="宋体"/>
                <w:color w:val="000000"/>
                <w:sz w:val="22"/>
                <w:szCs w:val="22"/>
              </w:rPr>
            </w:pPr>
          </w:p>
        </w:tc>
        <w:tc>
          <w:tcPr>
            <w:tcW w:w="1417" w:type="dxa"/>
            <w:gridSpan w:val="2"/>
            <w:noWrap w:val="0"/>
            <w:vAlign w:val="center"/>
          </w:tcPr>
          <w:p>
            <w:pPr>
              <w:spacing w:line="36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信息系统</w:t>
            </w:r>
          </w:p>
        </w:tc>
        <w:tc>
          <w:tcPr>
            <w:tcW w:w="1722" w:type="dxa"/>
            <w:noWrap w:val="0"/>
            <w:vAlign w:val="center"/>
          </w:tcPr>
          <w:p>
            <w:pPr>
              <w:spacing w:line="360" w:lineRule="exact"/>
              <w:textAlignment w:val="center"/>
              <w:rPr>
                <w:rFonts w:hint="eastAsia" w:ascii="宋体" w:hAnsi="宋体" w:cs="宋体"/>
                <w:color w:val="000000"/>
                <w:sz w:val="22"/>
                <w:szCs w:val="22"/>
              </w:rPr>
            </w:pPr>
            <w:r>
              <w:rPr>
                <w:rFonts w:hint="eastAsia" w:ascii="宋体" w:hAnsi="宋体" w:cs="宋体"/>
                <w:color w:val="000000"/>
                <w:sz w:val="22"/>
                <w:szCs w:val="22"/>
              </w:rPr>
              <w:t>内部控制</w:t>
            </w:r>
            <w:r>
              <w:rPr>
                <w:rFonts w:hint="eastAsia" w:ascii="宋体" w:hAnsi="宋体" w:cs="宋体"/>
                <w:color w:val="000000"/>
                <w:sz w:val="22"/>
                <w:szCs w:val="22"/>
                <w:lang w:bidi="ar"/>
              </w:rPr>
              <w:t>信息化情况</w:t>
            </w:r>
          </w:p>
        </w:tc>
        <w:tc>
          <w:tcPr>
            <w:tcW w:w="4304" w:type="dxa"/>
            <w:noWrap w:val="0"/>
            <w:vAlign w:val="center"/>
          </w:tcPr>
          <w:p>
            <w:pPr>
              <w:spacing w:line="360" w:lineRule="exact"/>
              <w:jc w:val="both"/>
              <w:textAlignment w:val="center"/>
              <w:rPr>
                <w:rFonts w:hint="eastAsia" w:ascii="宋体" w:hAnsi="宋体" w:cs="宋体"/>
                <w:color w:val="000000"/>
                <w:sz w:val="22"/>
                <w:szCs w:val="22"/>
              </w:rPr>
            </w:pPr>
            <w:r>
              <w:rPr>
                <w:rFonts w:hint="eastAsia" w:ascii="宋体" w:hAnsi="宋体" w:cs="宋体"/>
                <w:color w:val="000000"/>
                <w:sz w:val="22"/>
                <w:szCs w:val="22"/>
              </w:rPr>
              <w:t>单位是否将内部控制要求嵌入信息系统，以及信息系统是否覆盖单位全部经济活动或主要业务活动。</w:t>
            </w:r>
          </w:p>
        </w:tc>
        <w:tc>
          <w:tcPr>
            <w:tcW w:w="796" w:type="dxa"/>
            <w:noWrap w:val="0"/>
            <w:vAlign w:val="center"/>
          </w:tcPr>
          <w:p>
            <w:pPr>
              <w:spacing w:line="360" w:lineRule="exact"/>
              <w:jc w:val="center"/>
              <w:rPr>
                <w:rFonts w:hint="eastAsia" w:ascii="宋体" w:hAnsi="宋体" w:cs="宋体"/>
                <w:color w:val="000000"/>
                <w:sz w:val="22"/>
                <w:szCs w:val="22"/>
              </w:rPr>
            </w:pPr>
            <w:r>
              <w:rPr>
                <w:rFonts w:hint="eastAsia" w:ascii="宋体" w:hAnsi="宋体" w:cs="宋体"/>
                <w:color w:val="000000"/>
                <w:sz w:val="22"/>
                <w:szCs w:val="22"/>
              </w:rPr>
              <w:t>1</w:t>
            </w:r>
          </w:p>
        </w:tc>
        <w:tc>
          <w:tcPr>
            <w:tcW w:w="5478" w:type="dxa"/>
            <w:noWrap w:val="0"/>
            <w:vAlign w:val="center"/>
          </w:tcPr>
          <w:p>
            <w:pPr>
              <w:spacing w:line="360" w:lineRule="exact"/>
              <w:rPr>
                <w:rFonts w:hint="eastAsia" w:ascii="宋体" w:hAnsi="宋体" w:cs="宋体"/>
                <w:color w:val="000000"/>
                <w:sz w:val="22"/>
                <w:szCs w:val="22"/>
              </w:rPr>
            </w:pPr>
            <w:r>
              <w:rPr>
                <w:rFonts w:hint="eastAsia" w:ascii="宋体" w:hAnsi="宋体" w:cs="宋体"/>
                <w:color w:val="000000"/>
                <w:sz w:val="22"/>
                <w:szCs w:val="22"/>
              </w:rPr>
              <w:t>信息系统全面覆盖单位经济活动或主要业务活动，且满足内部控制要求的，得满分；信息系统不满足内部控制要求的，视情况</w:t>
            </w:r>
            <w:r>
              <w:rPr>
                <w:rFonts w:hint="eastAsia" w:ascii="宋体" w:hAnsi="宋体" w:cs="宋体"/>
                <w:color w:val="000000"/>
                <w:sz w:val="22"/>
                <w:szCs w:val="22"/>
                <w:lang w:bidi="ar"/>
              </w:rPr>
              <w:t>扣0.5-1分</w:t>
            </w:r>
            <w:r>
              <w:rPr>
                <w:rFonts w:hint="eastAsia" w:ascii="宋体" w:hAnsi="宋体" w:cs="宋体"/>
                <w:color w:val="000000"/>
                <w:sz w:val="22"/>
                <w:szCs w:val="22"/>
              </w:rPr>
              <w:t>。</w:t>
            </w: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8393" w:type="dxa"/>
            <w:gridSpan w:val="5"/>
            <w:noWrap w:val="0"/>
            <w:vAlign w:val="center"/>
          </w:tcPr>
          <w:p>
            <w:pPr>
              <w:spacing w:line="360" w:lineRule="exact"/>
              <w:jc w:val="center"/>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小计</w:t>
            </w:r>
          </w:p>
        </w:tc>
        <w:tc>
          <w:tcPr>
            <w:tcW w:w="796" w:type="dxa"/>
            <w:noWrap w:val="0"/>
            <w:vAlign w:val="center"/>
          </w:tcPr>
          <w:p>
            <w:pPr>
              <w:spacing w:line="360" w:lineRule="exact"/>
              <w:jc w:val="center"/>
              <w:rPr>
                <w:rFonts w:ascii="宋体" w:hAnsi="宋体" w:cs="宋体"/>
                <w:color w:val="000000"/>
                <w:sz w:val="22"/>
                <w:szCs w:val="22"/>
              </w:rPr>
            </w:pPr>
            <w:r>
              <w:rPr>
                <w:rFonts w:hint="eastAsia" w:ascii="宋体" w:hAnsi="宋体" w:cs="宋体"/>
                <w:color w:val="000000"/>
                <w:sz w:val="22"/>
                <w:szCs w:val="22"/>
              </w:rPr>
              <w:t>7</w:t>
            </w:r>
          </w:p>
        </w:tc>
        <w:tc>
          <w:tcPr>
            <w:tcW w:w="5478" w:type="dxa"/>
            <w:noWrap w:val="0"/>
            <w:vAlign w:val="center"/>
          </w:tcPr>
          <w:p>
            <w:pPr>
              <w:spacing w:line="360" w:lineRule="exact"/>
              <w:jc w:val="center"/>
              <w:rPr>
                <w:rFonts w:hint="eastAsia" w:ascii="宋体" w:hAnsi="宋体" w:cs="宋体"/>
                <w:color w:val="000000"/>
                <w:sz w:val="22"/>
                <w:szCs w:val="22"/>
              </w:rPr>
            </w:pP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50" w:type="dxa"/>
            <w:vMerge w:val="restart"/>
            <w:noWrap w:val="0"/>
            <w:vAlign w:val="center"/>
          </w:tcPr>
          <w:p>
            <w:pPr>
              <w:spacing w:line="360" w:lineRule="exact"/>
              <w:jc w:val="both"/>
              <w:textAlignment w:val="center"/>
              <w:rPr>
                <w:rFonts w:ascii="宋体" w:hAnsi="宋体" w:cs="宋体"/>
                <w:color w:val="000000"/>
                <w:sz w:val="22"/>
                <w:szCs w:val="22"/>
                <w:lang w:bidi="ar"/>
              </w:rPr>
            </w:pPr>
            <w:r>
              <w:rPr>
                <w:rFonts w:hint="eastAsia" w:ascii="宋体" w:hAnsi="宋体" w:cs="宋体"/>
                <w:color w:val="000000"/>
                <w:sz w:val="22"/>
                <w:szCs w:val="22"/>
                <w:lang w:bidi="ar"/>
              </w:rPr>
              <w:t>二、</w:t>
            </w:r>
            <w:r>
              <w:rPr>
                <w:rFonts w:hint="eastAsia" w:ascii="宋体" w:hAnsi="宋体" w:cs="宋体"/>
                <w:color w:val="000000"/>
                <w:sz w:val="22"/>
                <w:szCs w:val="22"/>
              </w:rPr>
              <w:t>业务层面内部控制</w:t>
            </w:r>
          </w:p>
          <w:p>
            <w:pPr>
              <w:spacing w:line="360" w:lineRule="exact"/>
              <w:rPr>
                <w:rFonts w:hint="eastAsia" w:ascii="宋体" w:hAnsi="宋体" w:cs="宋体"/>
                <w:color w:val="000000"/>
                <w:sz w:val="22"/>
                <w:szCs w:val="22"/>
              </w:rPr>
            </w:pPr>
          </w:p>
        </w:tc>
        <w:tc>
          <w:tcPr>
            <w:tcW w:w="1304" w:type="dxa"/>
            <w:vMerge w:val="restart"/>
            <w:noWrap w:val="0"/>
            <w:vAlign w:val="center"/>
          </w:tcPr>
          <w:p>
            <w:pPr>
              <w:spacing w:line="360" w:lineRule="exact"/>
              <w:jc w:val="center"/>
              <w:rPr>
                <w:rFonts w:hint="eastAsia" w:ascii="宋体" w:hAnsi="宋体" w:cs="宋体"/>
                <w:color w:val="000000"/>
                <w:sz w:val="22"/>
                <w:szCs w:val="22"/>
              </w:rPr>
            </w:pPr>
            <w:r>
              <w:rPr>
                <w:rFonts w:hint="eastAsia" w:ascii="宋体" w:hAnsi="宋体" w:cs="宋体"/>
                <w:color w:val="000000"/>
                <w:sz w:val="22"/>
                <w:szCs w:val="22"/>
                <w:lang w:bidi="ar"/>
              </w:rPr>
              <w:t>预算业务内部控制</w:t>
            </w:r>
          </w:p>
        </w:tc>
        <w:tc>
          <w:tcPr>
            <w:tcW w:w="1835" w:type="dxa"/>
            <w:gridSpan w:val="2"/>
            <w:noWrap/>
            <w:vAlign w:val="center"/>
          </w:tcPr>
          <w:p>
            <w:pPr>
              <w:spacing w:line="360" w:lineRule="exact"/>
              <w:rPr>
                <w:rFonts w:hint="eastAsia" w:ascii="宋体" w:hAnsi="宋体" w:cs="宋体"/>
                <w:color w:val="000000"/>
                <w:sz w:val="22"/>
                <w:szCs w:val="22"/>
                <w:lang w:bidi="ar"/>
              </w:rPr>
            </w:pPr>
            <w:r>
              <w:rPr>
                <w:rFonts w:hint="eastAsia" w:ascii="宋体" w:hAnsi="宋体" w:cs="宋体"/>
                <w:color w:val="000000"/>
                <w:sz w:val="22"/>
                <w:szCs w:val="22"/>
                <w:lang w:bidi="ar"/>
              </w:rPr>
              <w:t>预算业务内部控制建立情况</w:t>
            </w:r>
          </w:p>
        </w:tc>
        <w:tc>
          <w:tcPr>
            <w:tcW w:w="4304" w:type="dxa"/>
            <w:noWrap w:val="0"/>
            <w:vAlign w:val="center"/>
          </w:tcPr>
          <w:p>
            <w:pPr>
              <w:spacing w:line="360" w:lineRule="exact"/>
              <w:jc w:val="both"/>
              <w:textAlignment w:val="center"/>
              <w:rPr>
                <w:rFonts w:hint="eastAsia" w:ascii="宋体" w:hAnsi="宋体" w:cs="宋体"/>
                <w:color w:val="000000"/>
                <w:sz w:val="22"/>
                <w:szCs w:val="22"/>
              </w:rPr>
            </w:pPr>
            <w:r>
              <w:rPr>
                <w:rFonts w:hint="eastAsia" w:ascii="宋体" w:hAnsi="宋体" w:cs="宋体"/>
                <w:color w:val="000000"/>
                <w:sz w:val="22"/>
                <w:szCs w:val="22"/>
                <w:lang w:bidi="ar"/>
              </w:rPr>
              <w:t>单位是否依据法律法规和内部管理实际需要，建立健全预算业务内部控制制度。</w:t>
            </w:r>
          </w:p>
        </w:tc>
        <w:tc>
          <w:tcPr>
            <w:tcW w:w="796" w:type="dxa"/>
            <w:noWrap w:val="0"/>
            <w:vAlign w:val="center"/>
          </w:tcPr>
          <w:p>
            <w:pPr>
              <w:spacing w:line="36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2</w:t>
            </w:r>
          </w:p>
        </w:tc>
        <w:tc>
          <w:tcPr>
            <w:tcW w:w="5478" w:type="dxa"/>
            <w:noWrap w:val="0"/>
            <w:vAlign w:val="center"/>
          </w:tcPr>
          <w:p>
            <w:pPr>
              <w:spacing w:line="360" w:lineRule="exact"/>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每发现一家应建立未建立相关制度的，扣1分，扣完为止。</w:t>
            </w: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50" w:type="dxa"/>
            <w:vMerge w:val="continue"/>
            <w:noWrap w:val="0"/>
            <w:vAlign w:val="center"/>
          </w:tcPr>
          <w:p>
            <w:pPr>
              <w:spacing w:line="360" w:lineRule="exact"/>
              <w:jc w:val="center"/>
              <w:rPr>
                <w:rFonts w:hint="eastAsia" w:ascii="宋体" w:hAnsi="宋体" w:cs="宋体"/>
                <w:color w:val="000000"/>
                <w:sz w:val="22"/>
                <w:szCs w:val="22"/>
              </w:rPr>
            </w:pPr>
          </w:p>
        </w:tc>
        <w:tc>
          <w:tcPr>
            <w:tcW w:w="1304" w:type="dxa"/>
            <w:vMerge w:val="continue"/>
            <w:noWrap w:val="0"/>
            <w:vAlign w:val="center"/>
          </w:tcPr>
          <w:p>
            <w:pPr>
              <w:spacing w:line="360" w:lineRule="exact"/>
              <w:jc w:val="center"/>
              <w:rPr>
                <w:rFonts w:hint="eastAsia" w:ascii="宋体" w:hAnsi="宋体" w:cs="宋体"/>
                <w:color w:val="000000"/>
                <w:sz w:val="22"/>
                <w:szCs w:val="22"/>
              </w:rPr>
            </w:pPr>
          </w:p>
        </w:tc>
        <w:tc>
          <w:tcPr>
            <w:tcW w:w="1835" w:type="dxa"/>
            <w:gridSpan w:val="2"/>
            <w:vMerge w:val="restart"/>
            <w:noWrap/>
            <w:vAlign w:val="center"/>
          </w:tcPr>
          <w:p>
            <w:pPr>
              <w:spacing w:line="360" w:lineRule="exact"/>
              <w:rPr>
                <w:rFonts w:hint="eastAsia" w:ascii="宋体" w:hAnsi="宋体" w:cs="宋体"/>
                <w:color w:val="000000"/>
                <w:sz w:val="22"/>
                <w:szCs w:val="22"/>
                <w:lang w:bidi="ar"/>
              </w:rPr>
            </w:pPr>
            <w:r>
              <w:rPr>
                <w:rFonts w:hint="eastAsia" w:ascii="宋体" w:hAnsi="宋体" w:cs="宋体"/>
                <w:color w:val="000000"/>
                <w:sz w:val="22"/>
                <w:szCs w:val="22"/>
                <w:lang w:bidi="ar"/>
              </w:rPr>
              <w:t>预算业务内部控制实施情况</w:t>
            </w:r>
          </w:p>
        </w:tc>
        <w:tc>
          <w:tcPr>
            <w:tcW w:w="4304" w:type="dxa"/>
            <w:noWrap w:val="0"/>
            <w:vAlign w:val="center"/>
          </w:tcPr>
          <w:p>
            <w:pPr>
              <w:spacing w:line="360" w:lineRule="exact"/>
              <w:jc w:val="both"/>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单位是否按照批复的预算开展相关活动。</w:t>
            </w:r>
          </w:p>
        </w:tc>
        <w:tc>
          <w:tcPr>
            <w:tcW w:w="796" w:type="dxa"/>
            <w:noWrap w:val="0"/>
            <w:vAlign w:val="center"/>
          </w:tcPr>
          <w:p>
            <w:pPr>
              <w:spacing w:line="360" w:lineRule="exact"/>
              <w:jc w:val="center"/>
              <w:rPr>
                <w:rFonts w:ascii="宋体" w:hAnsi="宋体" w:cs="宋体"/>
                <w:color w:val="000000"/>
                <w:sz w:val="22"/>
                <w:szCs w:val="22"/>
              </w:rPr>
            </w:pPr>
            <w:r>
              <w:rPr>
                <w:rFonts w:hint="eastAsia" w:ascii="宋体" w:hAnsi="宋体" w:cs="宋体"/>
                <w:color w:val="000000"/>
                <w:sz w:val="22"/>
                <w:szCs w:val="22"/>
              </w:rPr>
              <w:t>1</w:t>
            </w:r>
          </w:p>
        </w:tc>
        <w:tc>
          <w:tcPr>
            <w:tcW w:w="5478" w:type="dxa"/>
            <w:noWrap w:val="0"/>
            <w:vAlign w:val="center"/>
          </w:tcPr>
          <w:p>
            <w:pPr>
              <w:spacing w:line="360" w:lineRule="exact"/>
              <w:rPr>
                <w:rFonts w:ascii="宋体" w:hAnsi="宋体" w:cs="宋体"/>
                <w:color w:val="000000"/>
                <w:sz w:val="22"/>
                <w:szCs w:val="22"/>
                <w:lang w:bidi="ar"/>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950" w:type="dxa"/>
            <w:vMerge w:val="continue"/>
            <w:noWrap w:val="0"/>
            <w:vAlign w:val="center"/>
          </w:tcPr>
          <w:p>
            <w:pPr>
              <w:spacing w:line="360" w:lineRule="exact"/>
              <w:jc w:val="center"/>
              <w:rPr>
                <w:rFonts w:hint="eastAsia" w:ascii="宋体" w:hAnsi="宋体" w:cs="宋体"/>
                <w:color w:val="000000"/>
                <w:sz w:val="22"/>
                <w:szCs w:val="22"/>
              </w:rPr>
            </w:pPr>
          </w:p>
        </w:tc>
        <w:tc>
          <w:tcPr>
            <w:tcW w:w="1304" w:type="dxa"/>
            <w:vMerge w:val="continue"/>
            <w:noWrap w:val="0"/>
            <w:vAlign w:val="center"/>
          </w:tcPr>
          <w:p>
            <w:pPr>
              <w:spacing w:line="360" w:lineRule="exact"/>
              <w:jc w:val="center"/>
              <w:rPr>
                <w:rFonts w:hint="eastAsia" w:ascii="宋体" w:hAnsi="宋体" w:cs="宋体"/>
                <w:color w:val="000000"/>
                <w:sz w:val="22"/>
                <w:szCs w:val="22"/>
              </w:rPr>
            </w:pPr>
          </w:p>
        </w:tc>
        <w:tc>
          <w:tcPr>
            <w:tcW w:w="1835" w:type="dxa"/>
            <w:gridSpan w:val="2"/>
            <w:vMerge w:val="continue"/>
            <w:noWrap/>
            <w:vAlign w:val="center"/>
          </w:tcPr>
          <w:p>
            <w:pPr>
              <w:spacing w:line="360" w:lineRule="exact"/>
              <w:rPr>
                <w:rFonts w:hint="eastAsia" w:ascii="宋体" w:hAnsi="宋体" w:cs="宋体"/>
                <w:color w:val="000000"/>
                <w:sz w:val="22"/>
                <w:szCs w:val="22"/>
                <w:lang w:bidi="ar"/>
              </w:rPr>
            </w:pPr>
          </w:p>
        </w:tc>
        <w:tc>
          <w:tcPr>
            <w:tcW w:w="4304" w:type="dxa"/>
            <w:noWrap w:val="0"/>
            <w:vAlign w:val="center"/>
          </w:tcPr>
          <w:p>
            <w:pPr>
              <w:spacing w:line="360" w:lineRule="exact"/>
              <w:jc w:val="both"/>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单位是否按照相关制度规定开展预算变更、调整申报和审核流程，是否报送相关部门审核审批备案后，再下达相关业务部门执行。</w:t>
            </w:r>
          </w:p>
        </w:tc>
        <w:tc>
          <w:tcPr>
            <w:tcW w:w="796" w:type="dxa"/>
            <w:noWrap w:val="0"/>
            <w:vAlign w:val="center"/>
          </w:tcPr>
          <w:p>
            <w:pPr>
              <w:spacing w:line="360" w:lineRule="exact"/>
              <w:jc w:val="center"/>
              <w:rPr>
                <w:rFonts w:ascii="宋体" w:hAnsi="宋体" w:cs="宋体"/>
                <w:color w:val="000000"/>
                <w:sz w:val="22"/>
                <w:szCs w:val="22"/>
              </w:rPr>
            </w:pPr>
            <w:r>
              <w:rPr>
                <w:rFonts w:hint="eastAsia" w:ascii="宋体" w:hAnsi="宋体" w:cs="宋体"/>
                <w:color w:val="000000"/>
                <w:sz w:val="22"/>
                <w:szCs w:val="22"/>
              </w:rPr>
              <w:t>1</w:t>
            </w:r>
          </w:p>
        </w:tc>
        <w:tc>
          <w:tcPr>
            <w:tcW w:w="5478" w:type="dxa"/>
            <w:noWrap w:val="0"/>
            <w:vAlign w:val="center"/>
          </w:tcPr>
          <w:p>
            <w:pPr>
              <w:spacing w:line="360" w:lineRule="exact"/>
              <w:rPr>
                <w:rFonts w:hint="eastAsia" w:ascii="宋体" w:hAnsi="宋体" w:cs="宋体"/>
                <w:color w:val="000000"/>
                <w:sz w:val="22"/>
                <w:szCs w:val="22"/>
                <w:lang w:bidi="ar"/>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950" w:type="dxa"/>
            <w:vMerge w:val="continue"/>
            <w:noWrap w:val="0"/>
            <w:vAlign w:val="center"/>
          </w:tcPr>
          <w:p>
            <w:pPr>
              <w:spacing w:line="360" w:lineRule="exact"/>
              <w:jc w:val="center"/>
              <w:rPr>
                <w:rFonts w:hint="eastAsia" w:ascii="宋体" w:hAnsi="宋体" w:cs="宋体"/>
                <w:color w:val="000000"/>
                <w:sz w:val="22"/>
                <w:szCs w:val="22"/>
              </w:rPr>
            </w:pPr>
          </w:p>
        </w:tc>
        <w:tc>
          <w:tcPr>
            <w:tcW w:w="1304" w:type="dxa"/>
            <w:vMerge w:val="continue"/>
            <w:noWrap w:val="0"/>
            <w:vAlign w:val="center"/>
          </w:tcPr>
          <w:p>
            <w:pPr>
              <w:spacing w:line="360" w:lineRule="exact"/>
              <w:jc w:val="center"/>
              <w:rPr>
                <w:rFonts w:hint="eastAsia" w:ascii="宋体" w:hAnsi="宋体" w:cs="宋体"/>
                <w:color w:val="000000"/>
                <w:sz w:val="22"/>
                <w:szCs w:val="22"/>
              </w:rPr>
            </w:pPr>
          </w:p>
        </w:tc>
        <w:tc>
          <w:tcPr>
            <w:tcW w:w="1835" w:type="dxa"/>
            <w:gridSpan w:val="2"/>
            <w:vMerge w:val="continue"/>
            <w:noWrap/>
            <w:vAlign w:val="center"/>
          </w:tcPr>
          <w:p>
            <w:pPr>
              <w:spacing w:line="360" w:lineRule="exact"/>
              <w:rPr>
                <w:rFonts w:hint="eastAsia" w:ascii="宋体" w:hAnsi="宋体" w:cs="宋体"/>
                <w:color w:val="000000"/>
                <w:sz w:val="22"/>
                <w:szCs w:val="22"/>
                <w:lang w:bidi="ar"/>
              </w:rPr>
            </w:pPr>
          </w:p>
        </w:tc>
        <w:tc>
          <w:tcPr>
            <w:tcW w:w="4304" w:type="dxa"/>
            <w:noWrap w:val="0"/>
            <w:vAlign w:val="center"/>
          </w:tcPr>
          <w:p>
            <w:pPr>
              <w:spacing w:line="360" w:lineRule="exact"/>
              <w:jc w:val="both"/>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单位是否按照相关制度规定开展决算编制、审核和审批等程序。</w:t>
            </w:r>
          </w:p>
        </w:tc>
        <w:tc>
          <w:tcPr>
            <w:tcW w:w="796" w:type="dxa"/>
            <w:noWrap w:val="0"/>
            <w:vAlign w:val="center"/>
          </w:tcPr>
          <w:p>
            <w:pPr>
              <w:spacing w:line="360" w:lineRule="exact"/>
              <w:jc w:val="center"/>
              <w:rPr>
                <w:rFonts w:ascii="宋体" w:hAnsi="宋体" w:cs="宋体"/>
                <w:color w:val="000000"/>
                <w:sz w:val="22"/>
                <w:szCs w:val="22"/>
              </w:rPr>
            </w:pPr>
            <w:r>
              <w:rPr>
                <w:rFonts w:hint="eastAsia" w:ascii="宋体" w:hAnsi="宋体" w:cs="宋体"/>
                <w:color w:val="000000"/>
                <w:sz w:val="22"/>
                <w:szCs w:val="22"/>
              </w:rPr>
              <w:t>2</w:t>
            </w:r>
          </w:p>
        </w:tc>
        <w:tc>
          <w:tcPr>
            <w:tcW w:w="5478" w:type="dxa"/>
            <w:noWrap w:val="0"/>
            <w:vAlign w:val="center"/>
          </w:tcPr>
          <w:p>
            <w:pPr>
              <w:spacing w:line="360" w:lineRule="exact"/>
              <w:rPr>
                <w:rFonts w:hint="eastAsia" w:ascii="宋体" w:hAnsi="宋体" w:cs="宋体"/>
                <w:color w:val="000000"/>
                <w:sz w:val="22"/>
                <w:szCs w:val="22"/>
                <w:lang w:bidi="ar"/>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950" w:type="dxa"/>
            <w:vMerge w:val="continue"/>
            <w:noWrap w:val="0"/>
            <w:vAlign w:val="center"/>
          </w:tcPr>
          <w:p>
            <w:pPr>
              <w:spacing w:line="360" w:lineRule="exact"/>
              <w:jc w:val="center"/>
              <w:rPr>
                <w:rFonts w:hint="eastAsia" w:ascii="宋体" w:hAnsi="宋体" w:cs="宋体"/>
                <w:color w:val="000000"/>
                <w:sz w:val="22"/>
                <w:szCs w:val="22"/>
              </w:rPr>
            </w:pPr>
          </w:p>
        </w:tc>
        <w:tc>
          <w:tcPr>
            <w:tcW w:w="1304" w:type="dxa"/>
            <w:vMerge w:val="continue"/>
            <w:noWrap w:val="0"/>
            <w:vAlign w:val="center"/>
          </w:tcPr>
          <w:p>
            <w:pPr>
              <w:spacing w:line="360" w:lineRule="exact"/>
              <w:jc w:val="center"/>
              <w:rPr>
                <w:rFonts w:hint="eastAsia" w:ascii="宋体" w:hAnsi="宋体" w:cs="宋体"/>
                <w:color w:val="000000"/>
                <w:sz w:val="22"/>
                <w:szCs w:val="22"/>
              </w:rPr>
            </w:pPr>
          </w:p>
        </w:tc>
        <w:tc>
          <w:tcPr>
            <w:tcW w:w="1835" w:type="dxa"/>
            <w:gridSpan w:val="2"/>
            <w:vMerge w:val="continue"/>
            <w:noWrap/>
            <w:vAlign w:val="center"/>
          </w:tcPr>
          <w:p>
            <w:pPr>
              <w:spacing w:line="360" w:lineRule="exact"/>
              <w:rPr>
                <w:rFonts w:hint="eastAsia" w:ascii="宋体" w:hAnsi="宋体" w:cs="宋体"/>
                <w:color w:val="000000"/>
                <w:sz w:val="22"/>
                <w:szCs w:val="22"/>
                <w:lang w:bidi="ar"/>
              </w:rPr>
            </w:pPr>
          </w:p>
        </w:tc>
        <w:tc>
          <w:tcPr>
            <w:tcW w:w="4304" w:type="dxa"/>
            <w:noWrap w:val="0"/>
            <w:vAlign w:val="center"/>
          </w:tcPr>
          <w:p>
            <w:pPr>
              <w:spacing w:line="360" w:lineRule="exact"/>
              <w:rPr>
                <w:rFonts w:hint="eastAsia" w:ascii="宋体" w:hAnsi="宋体" w:cs="宋体"/>
                <w:color w:val="000000"/>
                <w:sz w:val="22"/>
                <w:szCs w:val="22"/>
                <w:lang w:bidi="ar"/>
              </w:rPr>
            </w:pPr>
            <w:r>
              <w:rPr>
                <w:rFonts w:hint="eastAsia" w:ascii="宋体" w:hAnsi="宋体" w:cs="宋体"/>
                <w:color w:val="000000"/>
                <w:sz w:val="22"/>
                <w:szCs w:val="22"/>
                <w:lang w:bidi="ar"/>
              </w:rPr>
              <w:t>单位是否按照相关制度规定开展项目预算绩效评价情况。</w:t>
            </w:r>
          </w:p>
        </w:tc>
        <w:tc>
          <w:tcPr>
            <w:tcW w:w="796" w:type="dxa"/>
            <w:noWrap w:val="0"/>
            <w:vAlign w:val="center"/>
          </w:tcPr>
          <w:p>
            <w:pPr>
              <w:spacing w:line="360" w:lineRule="exact"/>
              <w:jc w:val="center"/>
              <w:rPr>
                <w:rFonts w:ascii="宋体" w:hAnsi="宋体" w:cs="宋体"/>
                <w:color w:val="000000"/>
                <w:sz w:val="22"/>
                <w:szCs w:val="22"/>
              </w:rPr>
            </w:pPr>
            <w:r>
              <w:rPr>
                <w:rFonts w:hint="eastAsia" w:ascii="宋体" w:hAnsi="宋体" w:cs="宋体"/>
                <w:color w:val="000000"/>
                <w:sz w:val="22"/>
                <w:szCs w:val="22"/>
              </w:rPr>
              <w:t>1</w:t>
            </w:r>
          </w:p>
        </w:tc>
        <w:tc>
          <w:tcPr>
            <w:tcW w:w="5478" w:type="dxa"/>
            <w:noWrap w:val="0"/>
            <w:vAlign w:val="center"/>
          </w:tcPr>
          <w:p>
            <w:pPr>
              <w:spacing w:line="360" w:lineRule="exact"/>
              <w:rPr>
                <w:rFonts w:hint="eastAsia" w:ascii="宋体" w:hAnsi="宋体" w:cs="宋体"/>
                <w:color w:val="000000"/>
                <w:sz w:val="22"/>
                <w:szCs w:val="22"/>
                <w:lang w:bidi="ar"/>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950" w:type="dxa"/>
            <w:vMerge w:val="continue"/>
            <w:noWrap w:val="0"/>
            <w:vAlign w:val="center"/>
          </w:tcPr>
          <w:p>
            <w:pPr>
              <w:spacing w:line="360" w:lineRule="exact"/>
              <w:jc w:val="center"/>
              <w:rPr>
                <w:rFonts w:hint="eastAsia" w:ascii="宋体" w:hAnsi="宋体" w:cs="宋体"/>
                <w:color w:val="000000"/>
                <w:sz w:val="22"/>
                <w:szCs w:val="22"/>
              </w:rPr>
            </w:pPr>
          </w:p>
        </w:tc>
        <w:tc>
          <w:tcPr>
            <w:tcW w:w="1304" w:type="dxa"/>
            <w:vMerge w:val="restart"/>
            <w:noWrap w:val="0"/>
            <w:vAlign w:val="center"/>
          </w:tcPr>
          <w:p>
            <w:pPr>
              <w:spacing w:line="36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收支业务内部控制</w:t>
            </w:r>
          </w:p>
        </w:tc>
        <w:tc>
          <w:tcPr>
            <w:tcW w:w="1835" w:type="dxa"/>
            <w:gridSpan w:val="2"/>
            <w:noWrap/>
            <w:vAlign w:val="center"/>
          </w:tcPr>
          <w:p>
            <w:pPr>
              <w:spacing w:line="360" w:lineRule="exact"/>
              <w:jc w:val="both"/>
              <w:textAlignment w:val="center"/>
              <w:rPr>
                <w:rFonts w:hint="eastAsia" w:ascii="宋体" w:hAnsi="宋体" w:cs="宋体"/>
                <w:color w:val="000000"/>
                <w:sz w:val="22"/>
                <w:szCs w:val="22"/>
              </w:rPr>
            </w:pPr>
            <w:r>
              <w:rPr>
                <w:rFonts w:hint="eastAsia" w:ascii="宋体" w:hAnsi="宋体" w:cs="宋体"/>
                <w:color w:val="000000"/>
                <w:sz w:val="22"/>
                <w:szCs w:val="22"/>
                <w:lang w:bidi="ar"/>
              </w:rPr>
              <w:t>收支业务内部控制建立情况</w:t>
            </w:r>
          </w:p>
        </w:tc>
        <w:tc>
          <w:tcPr>
            <w:tcW w:w="4304" w:type="dxa"/>
            <w:noWrap w:val="0"/>
            <w:vAlign w:val="center"/>
          </w:tcPr>
          <w:p>
            <w:pPr>
              <w:spacing w:line="360" w:lineRule="exact"/>
              <w:jc w:val="both"/>
              <w:textAlignment w:val="center"/>
              <w:rPr>
                <w:rFonts w:hint="eastAsia" w:ascii="宋体" w:hAnsi="宋体" w:cs="宋体"/>
                <w:color w:val="000000"/>
                <w:sz w:val="22"/>
                <w:szCs w:val="22"/>
              </w:rPr>
            </w:pPr>
            <w:r>
              <w:rPr>
                <w:rFonts w:hint="eastAsia" w:ascii="宋体" w:hAnsi="宋体" w:cs="宋体"/>
                <w:color w:val="000000"/>
                <w:sz w:val="22"/>
                <w:szCs w:val="22"/>
                <w:lang w:bidi="ar"/>
              </w:rPr>
              <w:t>单位是否依据法律法规和内部管理实际需要，建立健全收支业务内部控制制度。</w:t>
            </w:r>
          </w:p>
        </w:tc>
        <w:tc>
          <w:tcPr>
            <w:tcW w:w="796" w:type="dxa"/>
            <w:noWrap w:val="0"/>
            <w:vAlign w:val="center"/>
          </w:tcPr>
          <w:p>
            <w:pPr>
              <w:spacing w:line="36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2</w:t>
            </w:r>
          </w:p>
        </w:tc>
        <w:tc>
          <w:tcPr>
            <w:tcW w:w="5478" w:type="dxa"/>
            <w:noWrap w:val="0"/>
            <w:vAlign w:val="center"/>
          </w:tcPr>
          <w:p>
            <w:pPr>
              <w:spacing w:line="360" w:lineRule="exact"/>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每发现一家应建立未建立相关制度的，扣1分，扣完为止。</w:t>
            </w: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950" w:type="dxa"/>
            <w:vMerge w:val="continue"/>
            <w:noWrap w:val="0"/>
            <w:vAlign w:val="center"/>
          </w:tcPr>
          <w:p>
            <w:pPr>
              <w:spacing w:line="360" w:lineRule="exact"/>
              <w:jc w:val="center"/>
              <w:rPr>
                <w:rFonts w:hint="eastAsia" w:ascii="宋体" w:hAnsi="宋体" w:cs="宋体"/>
                <w:color w:val="000000"/>
                <w:sz w:val="22"/>
                <w:szCs w:val="22"/>
              </w:rPr>
            </w:pPr>
          </w:p>
        </w:tc>
        <w:tc>
          <w:tcPr>
            <w:tcW w:w="1304" w:type="dxa"/>
            <w:vMerge w:val="continue"/>
            <w:noWrap w:val="0"/>
            <w:vAlign w:val="center"/>
          </w:tcPr>
          <w:p>
            <w:pPr>
              <w:spacing w:line="360" w:lineRule="exact"/>
              <w:jc w:val="both"/>
              <w:textAlignment w:val="center"/>
              <w:rPr>
                <w:rFonts w:hint="eastAsia" w:ascii="宋体" w:hAnsi="宋体" w:cs="宋体"/>
                <w:color w:val="000000"/>
                <w:sz w:val="22"/>
                <w:szCs w:val="22"/>
              </w:rPr>
            </w:pPr>
          </w:p>
        </w:tc>
        <w:tc>
          <w:tcPr>
            <w:tcW w:w="1835" w:type="dxa"/>
            <w:gridSpan w:val="2"/>
            <w:vMerge w:val="restart"/>
            <w:noWrap/>
            <w:vAlign w:val="center"/>
          </w:tcPr>
          <w:p>
            <w:pPr>
              <w:spacing w:line="360" w:lineRule="exact"/>
              <w:jc w:val="both"/>
              <w:textAlignment w:val="center"/>
              <w:rPr>
                <w:rFonts w:hint="eastAsia" w:ascii="宋体" w:hAnsi="宋体" w:cs="宋体"/>
                <w:color w:val="000000"/>
                <w:sz w:val="22"/>
                <w:szCs w:val="22"/>
              </w:rPr>
            </w:pPr>
            <w:r>
              <w:rPr>
                <w:rFonts w:hint="eastAsia" w:ascii="宋体" w:hAnsi="宋体" w:cs="宋体"/>
                <w:color w:val="000000"/>
                <w:sz w:val="22"/>
                <w:szCs w:val="22"/>
                <w:lang w:bidi="ar"/>
              </w:rPr>
              <w:t>收支业务内部控制实施情况</w:t>
            </w:r>
          </w:p>
        </w:tc>
        <w:tc>
          <w:tcPr>
            <w:tcW w:w="4304" w:type="dxa"/>
            <w:noWrap w:val="0"/>
            <w:vAlign w:val="center"/>
          </w:tcPr>
          <w:p>
            <w:pPr>
              <w:spacing w:line="360" w:lineRule="exact"/>
              <w:jc w:val="both"/>
              <w:textAlignment w:val="center"/>
              <w:rPr>
                <w:rFonts w:hint="eastAsia" w:ascii="宋体" w:hAnsi="宋体" w:cs="宋体"/>
                <w:color w:val="000000"/>
                <w:sz w:val="22"/>
                <w:szCs w:val="22"/>
              </w:rPr>
            </w:pPr>
            <w:r>
              <w:rPr>
                <w:rFonts w:hint="eastAsia" w:ascii="宋体" w:hAnsi="宋体" w:cs="宋体"/>
                <w:color w:val="000000"/>
                <w:sz w:val="22"/>
                <w:szCs w:val="22"/>
              </w:rPr>
              <w:t>单位是否按照制度规定执行</w:t>
            </w:r>
            <w:r>
              <w:rPr>
                <w:rFonts w:hint="eastAsia" w:ascii="宋体" w:hAnsi="宋体" w:cs="宋体"/>
                <w:color w:val="000000"/>
                <w:sz w:val="22"/>
                <w:szCs w:val="22"/>
                <w:lang w:bidi="ar"/>
              </w:rPr>
              <w:t>各项收入应收尽收，及时、准确入账。</w:t>
            </w:r>
          </w:p>
        </w:tc>
        <w:tc>
          <w:tcPr>
            <w:tcW w:w="796" w:type="dxa"/>
            <w:noWrap w:val="0"/>
            <w:vAlign w:val="center"/>
          </w:tcPr>
          <w:p>
            <w:pPr>
              <w:spacing w:line="360" w:lineRule="exact"/>
              <w:jc w:val="center"/>
              <w:rPr>
                <w:rFonts w:ascii="宋体" w:hAnsi="宋体" w:cs="宋体"/>
                <w:color w:val="000000"/>
                <w:sz w:val="22"/>
                <w:szCs w:val="22"/>
              </w:rPr>
            </w:pPr>
            <w:r>
              <w:rPr>
                <w:rFonts w:hint="eastAsia" w:ascii="宋体" w:hAnsi="宋体" w:cs="宋体"/>
                <w:color w:val="000000"/>
                <w:sz w:val="22"/>
                <w:szCs w:val="22"/>
              </w:rPr>
              <w:t>2</w:t>
            </w:r>
          </w:p>
        </w:tc>
        <w:tc>
          <w:tcPr>
            <w:tcW w:w="5478" w:type="dxa"/>
            <w:noWrap w:val="0"/>
            <w:vAlign w:val="center"/>
          </w:tcPr>
          <w:p>
            <w:pPr>
              <w:spacing w:line="360" w:lineRule="exact"/>
              <w:rPr>
                <w:rFonts w:hint="eastAsia" w:ascii="宋体" w:hAnsi="宋体" w:cs="宋体"/>
                <w:color w:val="000000"/>
                <w:sz w:val="22"/>
                <w:szCs w:val="22"/>
                <w:lang w:bidi="ar"/>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950" w:type="dxa"/>
            <w:vMerge w:val="continue"/>
            <w:noWrap w:val="0"/>
            <w:vAlign w:val="center"/>
          </w:tcPr>
          <w:p>
            <w:pPr>
              <w:spacing w:line="360" w:lineRule="exact"/>
              <w:jc w:val="center"/>
              <w:rPr>
                <w:rFonts w:hint="eastAsia" w:ascii="宋体" w:hAnsi="宋体" w:cs="宋体"/>
                <w:color w:val="000000"/>
                <w:sz w:val="22"/>
                <w:szCs w:val="22"/>
              </w:rPr>
            </w:pPr>
          </w:p>
        </w:tc>
        <w:tc>
          <w:tcPr>
            <w:tcW w:w="1304" w:type="dxa"/>
            <w:vMerge w:val="continue"/>
            <w:noWrap w:val="0"/>
            <w:vAlign w:val="center"/>
          </w:tcPr>
          <w:p>
            <w:pPr>
              <w:spacing w:line="360" w:lineRule="exact"/>
              <w:jc w:val="center"/>
              <w:rPr>
                <w:rFonts w:hint="eastAsia" w:ascii="宋体" w:hAnsi="宋体" w:cs="宋体"/>
                <w:color w:val="000000"/>
                <w:sz w:val="22"/>
                <w:szCs w:val="22"/>
              </w:rPr>
            </w:pPr>
          </w:p>
        </w:tc>
        <w:tc>
          <w:tcPr>
            <w:tcW w:w="1835" w:type="dxa"/>
            <w:gridSpan w:val="2"/>
            <w:vMerge w:val="continue"/>
            <w:noWrap/>
            <w:vAlign w:val="center"/>
          </w:tcPr>
          <w:p>
            <w:pPr>
              <w:spacing w:line="360" w:lineRule="exact"/>
              <w:rPr>
                <w:rFonts w:hint="eastAsia" w:ascii="宋体" w:hAnsi="宋体" w:cs="宋体"/>
                <w:color w:val="000000"/>
                <w:sz w:val="22"/>
                <w:szCs w:val="22"/>
              </w:rPr>
            </w:pPr>
          </w:p>
        </w:tc>
        <w:tc>
          <w:tcPr>
            <w:tcW w:w="4304" w:type="dxa"/>
            <w:noWrap w:val="0"/>
            <w:vAlign w:val="center"/>
          </w:tcPr>
          <w:p>
            <w:pPr>
              <w:spacing w:line="360" w:lineRule="exact"/>
              <w:jc w:val="both"/>
              <w:textAlignment w:val="center"/>
              <w:rPr>
                <w:rFonts w:hint="eastAsia" w:ascii="宋体" w:hAnsi="宋体" w:cs="宋体"/>
                <w:color w:val="000000"/>
                <w:sz w:val="22"/>
                <w:szCs w:val="22"/>
              </w:rPr>
            </w:pPr>
            <w:r>
              <w:rPr>
                <w:rFonts w:hint="eastAsia" w:ascii="宋体" w:hAnsi="宋体" w:cs="宋体"/>
                <w:color w:val="000000"/>
                <w:sz w:val="22"/>
                <w:szCs w:val="22"/>
              </w:rPr>
              <w:t>单位是否按照相关制度规定，开展支出审批、审核、支付控制和核算等程序。</w:t>
            </w:r>
          </w:p>
        </w:tc>
        <w:tc>
          <w:tcPr>
            <w:tcW w:w="796" w:type="dxa"/>
            <w:noWrap w:val="0"/>
            <w:vAlign w:val="center"/>
          </w:tcPr>
          <w:p>
            <w:pPr>
              <w:spacing w:line="360" w:lineRule="exact"/>
              <w:jc w:val="center"/>
              <w:rPr>
                <w:rFonts w:hint="eastAsia" w:ascii="宋体" w:hAnsi="宋体" w:cs="宋体"/>
                <w:color w:val="000000"/>
                <w:sz w:val="22"/>
                <w:szCs w:val="22"/>
              </w:rPr>
            </w:pPr>
            <w:r>
              <w:rPr>
                <w:rFonts w:hint="eastAsia" w:ascii="宋体" w:hAnsi="宋体" w:cs="宋体"/>
                <w:color w:val="000000"/>
                <w:sz w:val="22"/>
                <w:szCs w:val="22"/>
              </w:rPr>
              <w:t>2</w:t>
            </w:r>
          </w:p>
        </w:tc>
        <w:tc>
          <w:tcPr>
            <w:tcW w:w="5478" w:type="dxa"/>
            <w:noWrap w:val="0"/>
            <w:vAlign w:val="center"/>
          </w:tcPr>
          <w:p>
            <w:pPr>
              <w:spacing w:line="360" w:lineRule="exact"/>
              <w:rPr>
                <w:rFonts w:hint="eastAsia" w:ascii="宋体" w:hAnsi="宋体" w:cs="宋体"/>
                <w:color w:val="000000"/>
                <w:sz w:val="22"/>
                <w:szCs w:val="22"/>
                <w:lang w:bidi="ar"/>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950" w:type="dxa"/>
            <w:vMerge w:val="continue"/>
            <w:noWrap w:val="0"/>
            <w:vAlign w:val="center"/>
          </w:tcPr>
          <w:p>
            <w:pPr>
              <w:spacing w:line="360" w:lineRule="exact"/>
              <w:jc w:val="center"/>
              <w:rPr>
                <w:rFonts w:hint="eastAsia" w:ascii="宋体" w:hAnsi="宋体" w:cs="宋体"/>
                <w:color w:val="000000"/>
                <w:sz w:val="22"/>
                <w:szCs w:val="22"/>
              </w:rPr>
            </w:pPr>
          </w:p>
        </w:tc>
        <w:tc>
          <w:tcPr>
            <w:tcW w:w="1304" w:type="dxa"/>
            <w:vMerge w:val="continue"/>
            <w:noWrap w:val="0"/>
            <w:vAlign w:val="center"/>
          </w:tcPr>
          <w:p>
            <w:pPr>
              <w:spacing w:line="360" w:lineRule="exact"/>
              <w:jc w:val="center"/>
              <w:rPr>
                <w:rFonts w:hint="eastAsia" w:ascii="宋体" w:hAnsi="宋体" w:cs="宋体"/>
                <w:color w:val="000000"/>
                <w:sz w:val="22"/>
                <w:szCs w:val="22"/>
              </w:rPr>
            </w:pPr>
          </w:p>
        </w:tc>
        <w:tc>
          <w:tcPr>
            <w:tcW w:w="1835" w:type="dxa"/>
            <w:gridSpan w:val="2"/>
            <w:vMerge w:val="continue"/>
            <w:noWrap/>
            <w:vAlign w:val="center"/>
          </w:tcPr>
          <w:p>
            <w:pPr>
              <w:spacing w:line="360" w:lineRule="exact"/>
              <w:rPr>
                <w:rFonts w:hint="eastAsia" w:ascii="宋体" w:hAnsi="宋体" w:cs="宋体"/>
                <w:color w:val="000000"/>
                <w:sz w:val="22"/>
                <w:szCs w:val="22"/>
              </w:rPr>
            </w:pPr>
          </w:p>
        </w:tc>
        <w:tc>
          <w:tcPr>
            <w:tcW w:w="4304" w:type="dxa"/>
            <w:noWrap w:val="0"/>
            <w:vAlign w:val="center"/>
          </w:tcPr>
          <w:p>
            <w:pPr>
              <w:spacing w:line="360" w:lineRule="exact"/>
              <w:jc w:val="both"/>
              <w:textAlignment w:val="center"/>
              <w:rPr>
                <w:rFonts w:hint="eastAsia" w:ascii="宋体" w:hAnsi="宋体" w:cs="宋体"/>
                <w:color w:val="000000"/>
                <w:sz w:val="22"/>
                <w:szCs w:val="22"/>
              </w:rPr>
            </w:pPr>
            <w:r>
              <w:rPr>
                <w:rFonts w:hint="eastAsia" w:ascii="宋体" w:hAnsi="宋体" w:cs="宋体"/>
                <w:color w:val="000000"/>
                <w:sz w:val="22"/>
                <w:szCs w:val="22"/>
              </w:rPr>
              <w:t>单位是否严格按照制度规定管理“三公”经费。</w:t>
            </w:r>
          </w:p>
        </w:tc>
        <w:tc>
          <w:tcPr>
            <w:tcW w:w="796" w:type="dxa"/>
            <w:noWrap w:val="0"/>
            <w:vAlign w:val="center"/>
          </w:tcPr>
          <w:p>
            <w:pPr>
              <w:spacing w:line="360" w:lineRule="exact"/>
              <w:jc w:val="center"/>
              <w:rPr>
                <w:rFonts w:hint="eastAsia" w:ascii="宋体" w:hAnsi="宋体" w:cs="宋体"/>
                <w:color w:val="000000"/>
                <w:sz w:val="22"/>
                <w:szCs w:val="22"/>
              </w:rPr>
            </w:pPr>
            <w:r>
              <w:rPr>
                <w:rFonts w:hint="eastAsia" w:ascii="宋体" w:hAnsi="宋体" w:cs="宋体"/>
                <w:color w:val="000000"/>
                <w:sz w:val="22"/>
                <w:szCs w:val="22"/>
              </w:rPr>
              <w:t>1</w:t>
            </w:r>
          </w:p>
        </w:tc>
        <w:tc>
          <w:tcPr>
            <w:tcW w:w="5478" w:type="dxa"/>
            <w:noWrap w:val="0"/>
            <w:vAlign w:val="center"/>
          </w:tcPr>
          <w:p>
            <w:pPr>
              <w:spacing w:line="360" w:lineRule="exact"/>
              <w:rPr>
                <w:rFonts w:hint="eastAsia" w:ascii="宋体" w:hAnsi="宋体" w:cs="宋体"/>
                <w:color w:val="000000"/>
                <w:sz w:val="22"/>
                <w:szCs w:val="22"/>
                <w:lang w:bidi="ar"/>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950" w:type="dxa"/>
            <w:vMerge w:val="continue"/>
            <w:noWrap w:val="0"/>
            <w:vAlign w:val="center"/>
          </w:tcPr>
          <w:p>
            <w:pPr>
              <w:spacing w:line="360" w:lineRule="exact"/>
              <w:jc w:val="center"/>
              <w:rPr>
                <w:rFonts w:hint="eastAsia" w:ascii="宋体" w:hAnsi="宋体" w:cs="宋体"/>
                <w:color w:val="000000"/>
                <w:sz w:val="22"/>
                <w:szCs w:val="22"/>
              </w:rPr>
            </w:pPr>
          </w:p>
        </w:tc>
        <w:tc>
          <w:tcPr>
            <w:tcW w:w="1304" w:type="dxa"/>
            <w:vMerge w:val="restart"/>
            <w:noWrap w:val="0"/>
            <w:vAlign w:val="center"/>
          </w:tcPr>
          <w:p>
            <w:pPr>
              <w:spacing w:line="360" w:lineRule="exact"/>
              <w:jc w:val="center"/>
              <w:rPr>
                <w:rFonts w:hint="eastAsia" w:ascii="宋体" w:hAnsi="宋体" w:cs="宋体"/>
                <w:color w:val="000000"/>
                <w:sz w:val="22"/>
                <w:szCs w:val="22"/>
              </w:rPr>
            </w:pPr>
            <w:r>
              <w:rPr>
                <w:rFonts w:hint="eastAsia" w:ascii="宋体" w:hAnsi="宋体" w:cs="宋体"/>
                <w:color w:val="000000"/>
                <w:sz w:val="22"/>
                <w:szCs w:val="22"/>
                <w:lang w:bidi="ar"/>
              </w:rPr>
              <w:t>采购业务控制</w:t>
            </w:r>
          </w:p>
        </w:tc>
        <w:tc>
          <w:tcPr>
            <w:tcW w:w="1835" w:type="dxa"/>
            <w:gridSpan w:val="2"/>
            <w:noWrap w:val="0"/>
            <w:vAlign w:val="center"/>
          </w:tcPr>
          <w:p>
            <w:pPr>
              <w:spacing w:line="360" w:lineRule="exact"/>
              <w:textAlignment w:val="center"/>
              <w:rPr>
                <w:rFonts w:hint="eastAsia" w:ascii="宋体" w:hAnsi="宋体" w:cs="宋体"/>
                <w:color w:val="000000"/>
                <w:sz w:val="22"/>
                <w:szCs w:val="22"/>
              </w:rPr>
            </w:pPr>
            <w:r>
              <w:rPr>
                <w:rFonts w:hint="eastAsia" w:ascii="宋体" w:hAnsi="宋体" w:cs="宋体"/>
                <w:color w:val="000000"/>
                <w:sz w:val="22"/>
                <w:szCs w:val="22"/>
                <w:lang w:bidi="ar"/>
              </w:rPr>
              <w:t>政府采购业务内部控制建</w:t>
            </w:r>
            <w:r>
              <w:rPr>
                <w:rFonts w:hint="eastAsia" w:ascii="宋体" w:hAnsi="宋体" w:cs="宋体"/>
                <w:color w:val="000000"/>
                <w:sz w:val="22"/>
                <w:szCs w:val="22"/>
                <w:lang w:eastAsia="zh-CN" w:bidi="ar"/>
              </w:rPr>
              <w:t>立</w:t>
            </w:r>
            <w:r>
              <w:rPr>
                <w:rFonts w:hint="eastAsia" w:ascii="宋体" w:hAnsi="宋体" w:cs="宋体"/>
                <w:color w:val="000000"/>
                <w:sz w:val="22"/>
                <w:szCs w:val="22"/>
                <w:lang w:bidi="ar"/>
              </w:rPr>
              <w:t>情况</w:t>
            </w:r>
          </w:p>
        </w:tc>
        <w:tc>
          <w:tcPr>
            <w:tcW w:w="4304" w:type="dxa"/>
            <w:noWrap w:val="0"/>
            <w:vAlign w:val="center"/>
          </w:tcPr>
          <w:p>
            <w:pPr>
              <w:spacing w:line="360" w:lineRule="exact"/>
              <w:jc w:val="both"/>
              <w:textAlignment w:val="center"/>
              <w:rPr>
                <w:rFonts w:hint="eastAsia" w:ascii="宋体" w:hAnsi="宋体" w:cs="宋体"/>
                <w:color w:val="000000"/>
                <w:sz w:val="22"/>
                <w:szCs w:val="22"/>
              </w:rPr>
            </w:pPr>
            <w:r>
              <w:rPr>
                <w:rFonts w:hint="eastAsia" w:ascii="宋体" w:hAnsi="宋体" w:cs="宋体"/>
                <w:color w:val="000000"/>
                <w:sz w:val="22"/>
                <w:szCs w:val="22"/>
                <w:lang w:bidi="ar"/>
              </w:rPr>
              <w:t>单位是否依据法律法规和内部管理实际需要，建立健全政府采购内部控制制度。</w:t>
            </w:r>
          </w:p>
        </w:tc>
        <w:tc>
          <w:tcPr>
            <w:tcW w:w="796" w:type="dxa"/>
            <w:noWrap w:val="0"/>
            <w:vAlign w:val="center"/>
          </w:tcPr>
          <w:p>
            <w:pPr>
              <w:spacing w:line="36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2</w:t>
            </w:r>
          </w:p>
        </w:tc>
        <w:tc>
          <w:tcPr>
            <w:tcW w:w="5478" w:type="dxa"/>
            <w:noWrap w:val="0"/>
            <w:vAlign w:val="center"/>
          </w:tcPr>
          <w:p>
            <w:pPr>
              <w:spacing w:line="360" w:lineRule="exact"/>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每发现一家应建立未建立相关制度的，扣1分，扣完为止。</w:t>
            </w: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950" w:type="dxa"/>
            <w:vMerge w:val="continue"/>
            <w:noWrap w:val="0"/>
            <w:vAlign w:val="center"/>
          </w:tcPr>
          <w:p>
            <w:pPr>
              <w:spacing w:line="360" w:lineRule="exact"/>
              <w:jc w:val="center"/>
              <w:rPr>
                <w:rFonts w:hint="eastAsia" w:ascii="宋体" w:hAnsi="宋体" w:cs="宋体"/>
                <w:color w:val="000000"/>
                <w:sz w:val="22"/>
                <w:szCs w:val="22"/>
              </w:rPr>
            </w:pPr>
          </w:p>
        </w:tc>
        <w:tc>
          <w:tcPr>
            <w:tcW w:w="1304" w:type="dxa"/>
            <w:vMerge w:val="continue"/>
            <w:noWrap w:val="0"/>
            <w:vAlign w:val="center"/>
          </w:tcPr>
          <w:p>
            <w:pPr>
              <w:spacing w:line="360" w:lineRule="exact"/>
              <w:jc w:val="center"/>
              <w:rPr>
                <w:rFonts w:hint="eastAsia" w:ascii="宋体" w:hAnsi="宋体" w:cs="宋体"/>
                <w:color w:val="000000"/>
                <w:sz w:val="22"/>
                <w:szCs w:val="22"/>
              </w:rPr>
            </w:pPr>
          </w:p>
        </w:tc>
        <w:tc>
          <w:tcPr>
            <w:tcW w:w="1835" w:type="dxa"/>
            <w:gridSpan w:val="2"/>
            <w:vMerge w:val="restart"/>
            <w:noWrap w:val="0"/>
            <w:vAlign w:val="center"/>
          </w:tcPr>
          <w:p>
            <w:pPr>
              <w:spacing w:line="360" w:lineRule="exact"/>
              <w:rPr>
                <w:rFonts w:hint="eastAsia" w:ascii="宋体" w:hAnsi="宋体" w:cs="宋体"/>
                <w:color w:val="000000"/>
                <w:sz w:val="22"/>
                <w:szCs w:val="22"/>
              </w:rPr>
            </w:pPr>
            <w:r>
              <w:rPr>
                <w:rFonts w:hint="eastAsia" w:ascii="宋体" w:hAnsi="宋体" w:cs="宋体"/>
                <w:color w:val="000000"/>
                <w:sz w:val="22"/>
                <w:szCs w:val="22"/>
                <w:lang w:bidi="ar"/>
              </w:rPr>
              <w:t>政府采购业务内部控制实施情况</w:t>
            </w:r>
          </w:p>
        </w:tc>
        <w:tc>
          <w:tcPr>
            <w:tcW w:w="4304" w:type="dxa"/>
            <w:noWrap w:val="0"/>
            <w:vAlign w:val="center"/>
          </w:tcPr>
          <w:p>
            <w:pPr>
              <w:spacing w:line="360" w:lineRule="exact"/>
              <w:jc w:val="both"/>
              <w:textAlignment w:val="center"/>
              <w:rPr>
                <w:rFonts w:hint="eastAsia" w:ascii="宋体" w:hAnsi="宋体" w:cs="宋体"/>
                <w:color w:val="000000"/>
                <w:sz w:val="22"/>
                <w:szCs w:val="22"/>
              </w:rPr>
            </w:pPr>
            <w:r>
              <w:rPr>
                <w:rFonts w:hint="eastAsia" w:ascii="宋体" w:hAnsi="宋体" w:cs="宋体"/>
                <w:color w:val="000000"/>
                <w:sz w:val="22"/>
                <w:szCs w:val="22"/>
              </w:rPr>
              <w:t>单位是否按照制度规定选择政府采购的模式（集中采购、分散采购）、采购方式（招标、竞争性谈判、询价、单一来源采购、框架协议采购、竞争性磋商采购、其他）。</w:t>
            </w:r>
          </w:p>
        </w:tc>
        <w:tc>
          <w:tcPr>
            <w:tcW w:w="796" w:type="dxa"/>
            <w:noWrap w:val="0"/>
            <w:vAlign w:val="center"/>
          </w:tcPr>
          <w:p>
            <w:pPr>
              <w:spacing w:line="360" w:lineRule="exact"/>
              <w:jc w:val="center"/>
              <w:rPr>
                <w:rFonts w:ascii="宋体" w:hAnsi="宋体" w:cs="宋体"/>
                <w:color w:val="000000"/>
                <w:sz w:val="22"/>
                <w:szCs w:val="22"/>
              </w:rPr>
            </w:pPr>
            <w:r>
              <w:rPr>
                <w:rFonts w:hint="eastAsia" w:ascii="宋体" w:hAnsi="宋体" w:cs="宋体"/>
                <w:color w:val="000000"/>
                <w:sz w:val="22"/>
                <w:szCs w:val="22"/>
              </w:rPr>
              <w:t>2</w:t>
            </w:r>
          </w:p>
        </w:tc>
        <w:tc>
          <w:tcPr>
            <w:tcW w:w="5478" w:type="dxa"/>
            <w:noWrap w:val="0"/>
            <w:vAlign w:val="center"/>
          </w:tcPr>
          <w:p>
            <w:pPr>
              <w:spacing w:line="360" w:lineRule="exact"/>
              <w:rPr>
                <w:rFonts w:hint="eastAsia" w:ascii="宋体" w:hAnsi="宋体" w:cs="宋体"/>
                <w:color w:val="000000"/>
                <w:sz w:val="22"/>
                <w:szCs w:val="22"/>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950" w:type="dxa"/>
            <w:vMerge w:val="continue"/>
            <w:noWrap w:val="0"/>
            <w:vAlign w:val="center"/>
          </w:tcPr>
          <w:p>
            <w:pPr>
              <w:spacing w:line="360" w:lineRule="exact"/>
              <w:jc w:val="center"/>
              <w:rPr>
                <w:rFonts w:hint="eastAsia" w:ascii="宋体" w:hAnsi="宋体" w:cs="宋体"/>
                <w:color w:val="000000"/>
                <w:sz w:val="22"/>
                <w:szCs w:val="22"/>
              </w:rPr>
            </w:pPr>
          </w:p>
        </w:tc>
        <w:tc>
          <w:tcPr>
            <w:tcW w:w="1304" w:type="dxa"/>
            <w:vMerge w:val="continue"/>
            <w:noWrap w:val="0"/>
            <w:vAlign w:val="center"/>
          </w:tcPr>
          <w:p>
            <w:pPr>
              <w:spacing w:line="360" w:lineRule="exact"/>
              <w:jc w:val="center"/>
              <w:rPr>
                <w:rFonts w:hint="eastAsia" w:ascii="宋体" w:hAnsi="宋体" w:cs="宋体"/>
                <w:color w:val="000000"/>
                <w:sz w:val="22"/>
                <w:szCs w:val="22"/>
              </w:rPr>
            </w:pPr>
          </w:p>
        </w:tc>
        <w:tc>
          <w:tcPr>
            <w:tcW w:w="1835" w:type="dxa"/>
            <w:gridSpan w:val="2"/>
            <w:vMerge w:val="continue"/>
            <w:noWrap w:val="0"/>
            <w:vAlign w:val="center"/>
          </w:tcPr>
          <w:p>
            <w:pPr>
              <w:spacing w:line="360" w:lineRule="exact"/>
              <w:rPr>
                <w:rFonts w:hint="eastAsia" w:ascii="宋体" w:hAnsi="宋体" w:cs="宋体"/>
                <w:color w:val="000000"/>
                <w:sz w:val="22"/>
                <w:szCs w:val="22"/>
              </w:rPr>
            </w:pPr>
          </w:p>
        </w:tc>
        <w:tc>
          <w:tcPr>
            <w:tcW w:w="4304" w:type="dxa"/>
            <w:noWrap w:val="0"/>
            <w:vAlign w:val="center"/>
          </w:tcPr>
          <w:p>
            <w:pPr>
              <w:spacing w:line="360" w:lineRule="exact"/>
              <w:jc w:val="both"/>
              <w:textAlignment w:val="center"/>
              <w:rPr>
                <w:rFonts w:hint="eastAsia" w:ascii="宋体" w:hAnsi="宋体" w:cs="宋体"/>
                <w:color w:val="000000"/>
                <w:sz w:val="22"/>
                <w:szCs w:val="22"/>
              </w:rPr>
            </w:pPr>
            <w:r>
              <w:rPr>
                <w:rFonts w:hint="eastAsia" w:ascii="宋体" w:hAnsi="宋体" w:cs="宋体"/>
                <w:color w:val="000000"/>
                <w:sz w:val="22"/>
                <w:szCs w:val="22"/>
              </w:rPr>
              <w:t>申请变更采购方式的主体、程序是否按照相关规定执行。</w:t>
            </w:r>
          </w:p>
        </w:tc>
        <w:tc>
          <w:tcPr>
            <w:tcW w:w="796" w:type="dxa"/>
            <w:noWrap w:val="0"/>
            <w:vAlign w:val="center"/>
          </w:tcPr>
          <w:p>
            <w:pPr>
              <w:spacing w:line="360" w:lineRule="exact"/>
              <w:jc w:val="center"/>
              <w:rPr>
                <w:rFonts w:ascii="宋体" w:hAnsi="宋体" w:cs="宋体"/>
                <w:color w:val="000000"/>
                <w:sz w:val="22"/>
                <w:szCs w:val="22"/>
              </w:rPr>
            </w:pPr>
            <w:r>
              <w:rPr>
                <w:rFonts w:hint="eastAsia" w:ascii="宋体" w:hAnsi="宋体" w:cs="宋体"/>
                <w:color w:val="000000"/>
                <w:sz w:val="22"/>
                <w:szCs w:val="22"/>
              </w:rPr>
              <w:t>1</w:t>
            </w:r>
          </w:p>
        </w:tc>
        <w:tc>
          <w:tcPr>
            <w:tcW w:w="5478" w:type="dxa"/>
            <w:noWrap w:val="0"/>
            <w:vAlign w:val="center"/>
          </w:tcPr>
          <w:p>
            <w:pPr>
              <w:spacing w:line="360" w:lineRule="exact"/>
              <w:rPr>
                <w:rFonts w:hint="eastAsia" w:ascii="宋体" w:hAnsi="宋体" w:cs="宋体"/>
                <w:color w:val="000000"/>
                <w:sz w:val="22"/>
                <w:szCs w:val="22"/>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950" w:type="dxa"/>
            <w:vMerge w:val="continue"/>
            <w:noWrap w:val="0"/>
            <w:vAlign w:val="center"/>
          </w:tcPr>
          <w:p>
            <w:pPr>
              <w:spacing w:line="360" w:lineRule="exact"/>
              <w:jc w:val="center"/>
              <w:textAlignment w:val="center"/>
              <w:rPr>
                <w:rFonts w:hint="eastAsia" w:ascii="宋体" w:hAnsi="宋体" w:cs="宋体"/>
                <w:color w:val="000000"/>
                <w:sz w:val="22"/>
                <w:szCs w:val="22"/>
              </w:rPr>
            </w:pPr>
          </w:p>
        </w:tc>
        <w:tc>
          <w:tcPr>
            <w:tcW w:w="1304" w:type="dxa"/>
            <w:vMerge w:val="restart"/>
            <w:noWrap w:val="0"/>
            <w:vAlign w:val="center"/>
          </w:tcPr>
          <w:p>
            <w:pPr>
              <w:spacing w:line="36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资产业务内部控制</w:t>
            </w:r>
          </w:p>
        </w:tc>
        <w:tc>
          <w:tcPr>
            <w:tcW w:w="1835" w:type="dxa"/>
            <w:gridSpan w:val="2"/>
            <w:noWrap w:val="0"/>
            <w:vAlign w:val="center"/>
          </w:tcPr>
          <w:p>
            <w:pPr>
              <w:spacing w:line="360" w:lineRule="exact"/>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资产业务内部控制建</w:t>
            </w:r>
            <w:r>
              <w:rPr>
                <w:rFonts w:hint="eastAsia" w:ascii="宋体" w:hAnsi="宋体" w:cs="宋体"/>
                <w:color w:val="000000"/>
                <w:sz w:val="22"/>
                <w:szCs w:val="22"/>
                <w:lang w:eastAsia="zh-CN" w:bidi="ar"/>
              </w:rPr>
              <w:t>立</w:t>
            </w:r>
            <w:r>
              <w:rPr>
                <w:rFonts w:hint="eastAsia" w:ascii="宋体" w:hAnsi="宋体" w:cs="宋体"/>
                <w:color w:val="000000"/>
                <w:sz w:val="22"/>
                <w:szCs w:val="22"/>
                <w:lang w:bidi="ar"/>
              </w:rPr>
              <w:t>情况</w:t>
            </w:r>
          </w:p>
          <w:p>
            <w:pPr>
              <w:spacing w:line="360" w:lineRule="exact"/>
              <w:textAlignment w:val="center"/>
              <w:rPr>
                <w:rFonts w:hint="eastAsia" w:ascii="宋体" w:hAnsi="宋体" w:cs="宋体"/>
                <w:color w:val="000000"/>
                <w:sz w:val="22"/>
                <w:szCs w:val="22"/>
              </w:rPr>
            </w:pPr>
          </w:p>
        </w:tc>
        <w:tc>
          <w:tcPr>
            <w:tcW w:w="4304" w:type="dxa"/>
            <w:noWrap w:val="0"/>
            <w:vAlign w:val="center"/>
          </w:tcPr>
          <w:p>
            <w:pPr>
              <w:spacing w:line="360" w:lineRule="exact"/>
              <w:jc w:val="both"/>
              <w:textAlignment w:val="center"/>
              <w:rPr>
                <w:rFonts w:hint="eastAsia" w:ascii="宋体" w:hAnsi="宋体" w:cs="宋体"/>
                <w:color w:val="000000"/>
                <w:sz w:val="22"/>
                <w:szCs w:val="22"/>
              </w:rPr>
            </w:pPr>
            <w:r>
              <w:rPr>
                <w:rFonts w:hint="eastAsia" w:ascii="宋体" w:hAnsi="宋体" w:cs="宋体"/>
                <w:color w:val="000000"/>
                <w:sz w:val="22"/>
                <w:szCs w:val="22"/>
                <w:lang w:bidi="ar"/>
              </w:rPr>
              <w:t>单位是否依据法律法规和内部管理实际需要，建立健全资产业务内部控制制度。</w:t>
            </w:r>
          </w:p>
        </w:tc>
        <w:tc>
          <w:tcPr>
            <w:tcW w:w="796" w:type="dxa"/>
            <w:noWrap w:val="0"/>
            <w:vAlign w:val="center"/>
          </w:tcPr>
          <w:p>
            <w:pPr>
              <w:spacing w:line="36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2</w:t>
            </w:r>
          </w:p>
        </w:tc>
        <w:tc>
          <w:tcPr>
            <w:tcW w:w="5478" w:type="dxa"/>
            <w:noWrap w:val="0"/>
            <w:vAlign w:val="center"/>
          </w:tcPr>
          <w:p>
            <w:pPr>
              <w:spacing w:line="360" w:lineRule="exact"/>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每发现一家应建立未建立相关制度的，扣1分，扣完为止。</w:t>
            </w: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950" w:type="dxa"/>
            <w:vMerge w:val="continue"/>
            <w:noWrap w:val="0"/>
            <w:vAlign w:val="center"/>
          </w:tcPr>
          <w:p>
            <w:pPr>
              <w:spacing w:line="360" w:lineRule="exact"/>
              <w:jc w:val="center"/>
              <w:rPr>
                <w:rFonts w:hint="eastAsia" w:ascii="宋体" w:hAnsi="宋体" w:cs="宋体"/>
                <w:color w:val="000000"/>
                <w:sz w:val="22"/>
                <w:szCs w:val="22"/>
              </w:rPr>
            </w:pPr>
          </w:p>
        </w:tc>
        <w:tc>
          <w:tcPr>
            <w:tcW w:w="1304" w:type="dxa"/>
            <w:vMerge w:val="continue"/>
            <w:noWrap w:val="0"/>
            <w:vAlign w:val="center"/>
          </w:tcPr>
          <w:p>
            <w:pPr>
              <w:spacing w:line="360" w:lineRule="exact"/>
              <w:jc w:val="center"/>
              <w:rPr>
                <w:rFonts w:hint="eastAsia" w:ascii="宋体" w:hAnsi="宋体" w:cs="宋体"/>
                <w:color w:val="000000"/>
                <w:sz w:val="22"/>
                <w:szCs w:val="22"/>
              </w:rPr>
            </w:pPr>
          </w:p>
        </w:tc>
        <w:tc>
          <w:tcPr>
            <w:tcW w:w="1835" w:type="dxa"/>
            <w:gridSpan w:val="2"/>
            <w:vMerge w:val="restart"/>
            <w:noWrap w:val="0"/>
            <w:vAlign w:val="center"/>
          </w:tcPr>
          <w:p>
            <w:pPr>
              <w:spacing w:line="360" w:lineRule="exact"/>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资产业务内部控制实施情况</w:t>
            </w:r>
          </w:p>
        </w:tc>
        <w:tc>
          <w:tcPr>
            <w:tcW w:w="4304" w:type="dxa"/>
            <w:noWrap w:val="0"/>
            <w:vAlign w:val="center"/>
          </w:tcPr>
          <w:p>
            <w:pPr>
              <w:spacing w:line="360" w:lineRule="exact"/>
              <w:jc w:val="both"/>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单位是否按照制度规定规范执行资产的调剂、租借、对外投资、处置及资产收益等程序。</w:t>
            </w:r>
          </w:p>
        </w:tc>
        <w:tc>
          <w:tcPr>
            <w:tcW w:w="796" w:type="dxa"/>
            <w:noWrap w:val="0"/>
            <w:vAlign w:val="center"/>
          </w:tcPr>
          <w:p>
            <w:pPr>
              <w:spacing w:line="360" w:lineRule="exact"/>
              <w:jc w:val="center"/>
              <w:rPr>
                <w:rFonts w:ascii="宋体" w:hAnsi="宋体" w:cs="宋体"/>
                <w:color w:val="000000"/>
                <w:sz w:val="22"/>
                <w:szCs w:val="22"/>
              </w:rPr>
            </w:pPr>
            <w:r>
              <w:rPr>
                <w:rFonts w:hint="eastAsia" w:ascii="宋体" w:hAnsi="宋体" w:cs="宋体"/>
                <w:color w:val="000000"/>
                <w:sz w:val="22"/>
                <w:szCs w:val="22"/>
              </w:rPr>
              <w:t>1</w:t>
            </w:r>
          </w:p>
        </w:tc>
        <w:tc>
          <w:tcPr>
            <w:tcW w:w="5478" w:type="dxa"/>
            <w:noWrap w:val="0"/>
            <w:vAlign w:val="center"/>
          </w:tcPr>
          <w:p>
            <w:pPr>
              <w:spacing w:line="360" w:lineRule="exact"/>
              <w:rPr>
                <w:rFonts w:hint="eastAsia" w:ascii="宋体" w:hAnsi="宋体" w:cs="宋体"/>
                <w:color w:val="000000"/>
                <w:sz w:val="22"/>
                <w:szCs w:val="22"/>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950" w:type="dxa"/>
            <w:vMerge w:val="continue"/>
            <w:noWrap w:val="0"/>
            <w:vAlign w:val="center"/>
          </w:tcPr>
          <w:p>
            <w:pPr>
              <w:spacing w:line="360" w:lineRule="exact"/>
              <w:jc w:val="center"/>
              <w:rPr>
                <w:rFonts w:hint="eastAsia" w:ascii="宋体" w:hAnsi="宋体" w:cs="宋体"/>
                <w:color w:val="000000"/>
                <w:sz w:val="22"/>
                <w:szCs w:val="22"/>
              </w:rPr>
            </w:pPr>
          </w:p>
        </w:tc>
        <w:tc>
          <w:tcPr>
            <w:tcW w:w="1304" w:type="dxa"/>
            <w:vMerge w:val="continue"/>
            <w:noWrap w:val="0"/>
            <w:vAlign w:val="center"/>
          </w:tcPr>
          <w:p>
            <w:pPr>
              <w:spacing w:line="360" w:lineRule="exact"/>
              <w:jc w:val="center"/>
              <w:rPr>
                <w:rFonts w:hint="eastAsia" w:ascii="宋体" w:hAnsi="宋体" w:cs="宋体"/>
                <w:color w:val="000000"/>
                <w:sz w:val="22"/>
                <w:szCs w:val="22"/>
              </w:rPr>
            </w:pPr>
          </w:p>
        </w:tc>
        <w:tc>
          <w:tcPr>
            <w:tcW w:w="1835" w:type="dxa"/>
            <w:gridSpan w:val="2"/>
            <w:vMerge w:val="continue"/>
            <w:noWrap w:val="0"/>
            <w:vAlign w:val="center"/>
          </w:tcPr>
          <w:p>
            <w:pPr>
              <w:spacing w:line="360" w:lineRule="exact"/>
              <w:rPr>
                <w:rFonts w:hint="eastAsia" w:ascii="宋体" w:hAnsi="宋体" w:cs="宋体"/>
                <w:color w:val="000000"/>
                <w:sz w:val="22"/>
                <w:szCs w:val="22"/>
                <w:lang w:bidi="ar"/>
              </w:rPr>
            </w:pPr>
          </w:p>
        </w:tc>
        <w:tc>
          <w:tcPr>
            <w:tcW w:w="4304" w:type="dxa"/>
            <w:noWrap w:val="0"/>
            <w:vAlign w:val="center"/>
          </w:tcPr>
          <w:p>
            <w:pPr>
              <w:spacing w:line="360" w:lineRule="exact"/>
              <w:jc w:val="both"/>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单位是否按照制度规定对固定资产、存货等实物资产开展定期盘点、清查。</w:t>
            </w:r>
          </w:p>
        </w:tc>
        <w:tc>
          <w:tcPr>
            <w:tcW w:w="796" w:type="dxa"/>
            <w:noWrap w:val="0"/>
            <w:vAlign w:val="center"/>
          </w:tcPr>
          <w:p>
            <w:pPr>
              <w:spacing w:line="360" w:lineRule="exact"/>
              <w:jc w:val="center"/>
              <w:rPr>
                <w:rFonts w:ascii="宋体" w:hAnsi="宋体" w:cs="宋体"/>
                <w:color w:val="000000"/>
                <w:sz w:val="22"/>
                <w:szCs w:val="22"/>
              </w:rPr>
            </w:pPr>
            <w:r>
              <w:rPr>
                <w:rFonts w:hint="eastAsia" w:ascii="宋体" w:hAnsi="宋体" w:cs="宋体"/>
                <w:color w:val="000000"/>
                <w:sz w:val="22"/>
                <w:szCs w:val="22"/>
              </w:rPr>
              <w:t>2</w:t>
            </w:r>
          </w:p>
        </w:tc>
        <w:tc>
          <w:tcPr>
            <w:tcW w:w="5478" w:type="dxa"/>
            <w:noWrap w:val="0"/>
            <w:vAlign w:val="center"/>
          </w:tcPr>
          <w:p>
            <w:pPr>
              <w:spacing w:line="360" w:lineRule="exact"/>
              <w:rPr>
                <w:rFonts w:hint="eastAsia" w:ascii="宋体" w:hAnsi="宋体" w:cs="宋体"/>
                <w:color w:val="000000"/>
                <w:sz w:val="22"/>
                <w:szCs w:val="22"/>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950" w:type="dxa"/>
            <w:vMerge w:val="continue"/>
            <w:noWrap w:val="0"/>
            <w:vAlign w:val="center"/>
          </w:tcPr>
          <w:p>
            <w:pPr>
              <w:spacing w:line="360" w:lineRule="exact"/>
              <w:jc w:val="center"/>
              <w:rPr>
                <w:rFonts w:hint="eastAsia" w:ascii="宋体" w:hAnsi="宋体" w:cs="宋体"/>
                <w:color w:val="000000"/>
                <w:sz w:val="22"/>
                <w:szCs w:val="22"/>
              </w:rPr>
            </w:pPr>
          </w:p>
        </w:tc>
        <w:tc>
          <w:tcPr>
            <w:tcW w:w="1304" w:type="dxa"/>
            <w:vMerge w:val="restart"/>
            <w:noWrap w:val="0"/>
            <w:vAlign w:val="center"/>
          </w:tcPr>
          <w:p>
            <w:pPr>
              <w:spacing w:line="360" w:lineRule="exact"/>
              <w:jc w:val="center"/>
              <w:rPr>
                <w:rFonts w:hint="eastAsia" w:ascii="宋体" w:hAnsi="宋体" w:cs="宋体"/>
                <w:color w:val="000000"/>
                <w:sz w:val="22"/>
                <w:szCs w:val="22"/>
              </w:rPr>
            </w:pPr>
            <w:r>
              <w:rPr>
                <w:rFonts w:hint="eastAsia" w:ascii="宋体" w:hAnsi="宋体" w:cs="宋体"/>
                <w:color w:val="000000"/>
                <w:sz w:val="22"/>
                <w:szCs w:val="22"/>
                <w:lang w:bidi="ar"/>
              </w:rPr>
              <w:t>建设项目内部控制</w:t>
            </w:r>
          </w:p>
        </w:tc>
        <w:tc>
          <w:tcPr>
            <w:tcW w:w="1835" w:type="dxa"/>
            <w:gridSpan w:val="2"/>
            <w:noWrap w:val="0"/>
            <w:vAlign w:val="center"/>
          </w:tcPr>
          <w:p>
            <w:pPr>
              <w:spacing w:line="360" w:lineRule="exact"/>
              <w:textAlignment w:val="center"/>
              <w:rPr>
                <w:rFonts w:hint="eastAsia" w:ascii="宋体" w:hAnsi="宋体" w:cs="宋体"/>
                <w:color w:val="000000"/>
                <w:sz w:val="22"/>
                <w:szCs w:val="22"/>
              </w:rPr>
            </w:pPr>
            <w:r>
              <w:rPr>
                <w:rFonts w:hint="eastAsia" w:ascii="宋体" w:hAnsi="宋体" w:cs="宋体"/>
                <w:color w:val="000000"/>
                <w:sz w:val="22"/>
                <w:szCs w:val="22"/>
                <w:lang w:bidi="ar"/>
              </w:rPr>
              <w:t>建设项目内部控制建</w:t>
            </w:r>
            <w:r>
              <w:rPr>
                <w:rFonts w:hint="eastAsia" w:ascii="宋体" w:hAnsi="宋体" w:cs="宋体"/>
                <w:color w:val="000000"/>
                <w:sz w:val="22"/>
                <w:szCs w:val="22"/>
                <w:lang w:eastAsia="zh-CN" w:bidi="ar"/>
              </w:rPr>
              <w:t>立</w:t>
            </w:r>
            <w:r>
              <w:rPr>
                <w:rFonts w:hint="eastAsia" w:ascii="宋体" w:hAnsi="宋体" w:cs="宋体"/>
                <w:color w:val="000000"/>
                <w:sz w:val="22"/>
                <w:szCs w:val="22"/>
                <w:lang w:bidi="ar"/>
              </w:rPr>
              <w:t>情况</w:t>
            </w:r>
          </w:p>
          <w:p>
            <w:pPr>
              <w:spacing w:line="360" w:lineRule="exact"/>
              <w:rPr>
                <w:rFonts w:hint="eastAsia" w:ascii="宋体" w:hAnsi="宋体" w:cs="宋体"/>
                <w:color w:val="000000"/>
                <w:sz w:val="22"/>
                <w:szCs w:val="22"/>
              </w:rPr>
            </w:pPr>
          </w:p>
        </w:tc>
        <w:tc>
          <w:tcPr>
            <w:tcW w:w="4304" w:type="dxa"/>
            <w:noWrap w:val="0"/>
            <w:vAlign w:val="center"/>
          </w:tcPr>
          <w:p>
            <w:pPr>
              <w:spacing w:line="360" w:lineRule="exact"/>
              <w:jc w:val="both"/>
              <w:textAlignment w:val="center"/>
              <w:rPr>
                <w:rFonts w:hint="eastAsia" w:ascii="宋体" w:hAnsi="宋体" w:cs="宋体"/>
                <w:color w:val="000000"/>
                <w:sz w:val="22"/>
                <w:szCs w:val="22"/>
              </w:rPr>
            </w:pPr>
            <w:r>
              <w:rPr>
                <w:rFonts w:hint="eastAsia" w:ascii="宋体" w:hAnsi="宋体" w:cs="宋体"/>
                <w:color w:val="000000"/>
                <w:sz w:val="22"/>
                <w:szCs w:val="22"/>
                <w:lang w:bidi="ar"/>
              </w:rPr>
              <w:t>单位是否依据法律法规和内部管理实际需要，建立健全建设项目内部控制制度。</w:t>
            </w:r>
          </w:p>
        </w:tc>
        <w:tc>
          <w:tcPr>
            <w:tcW w:w="796" w:type="dxa"/>
            <w:noWrap w:val="0"/>
            <w:vAlign w:val="center"/>
          </w:tcPr>
          <w:p>
            <w:pPr>
              <w:spacing w:line="36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2</w:t>
            </w:r>
          </w:p>
        </w:tc>
        <w:tc>
          <w:tcPr>
            <w:tcW w:w="5478" w:type="dxa"/>
            <w:noWrap w:val="0"/>
            <w:vAlign w:val="center"/>
          </w:tcPr>
          <w:p>
            <w:pPr>
              <w:spacing w:line="360" w:lineRule="exact"/>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每发现一家应建立未建立相关制度的，扣1分，扣完为止。</w:t>
            </w: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950" w:type="dxa"/>
            <w:vMerge w:val="continue"/>
            <w:noWrap w:val="0"/>
            <w:vAlign w:val="center"/>
          </w:tcPr>
          <w:p>
            <w:pPr>
              <w:spacing w:line="360" w:lineRule="exact"/>
              <w:jc w:val="center"/>
              <w:rPr>
                <w:rFonts w:hint="eastAsia" w:ascii="宋体" w:hAnsi="宋体" w:cs="宋体"/>
                <w:color w:val="000000"/>
                <w:sz w:val="22"/>
                <w:szCs w:val="22"/>
              </w:rPr>
            </w:pPr>
          </w:p>
        </w:tc>
        <w:tc>
          <w:tcPr>
            <w:tcW w:w="1304" w:type="dxa"/>
            <w:vMerge w:val="continue"/>
            <w:noWrap w:val="0"/>
            <w:vAlign w:val="center"/>
          </w:tcPr>
          <w:p>
            <w:pPr>
              <w:spacing w:line="360" w:lineRule="exact"/>
              <w:jc w:val="center"/>
              <w:rPr>
                <w:rFonts w:hint="eastAsia" w:ascii="宋体" w:hAnsi="宋体" w:cs="宋体"/>
                <w:color w:val="000000"/>
                <w:sz w:val="22"/>
                <w:szCs w:val="22"/>
              </w:rPr>
            </w:pPr>
          </w:p>
        </w:tc>
        <w:tc>
          <w:tcPr>
            <w:tcW w:w="1835" w:type="dxa"/>
            <w:gridSpan w:val="2"/>
            <w:vMerge w:val="restart"/>
            <w:noWrap w:val="0"/>
            <w:vAlign w:val="center"/>
          </w:tcPr>
          <w:p>
            <w:pPr>
              <w:spacing w:line="360" w:lineRule="exact"/>
            </w:pPr>
            <w:r>
              <w:rPr>
                <w:rFonts w:hint="eastAsia" w:ascii="宋体" w:hAnsi="宋体" w:cs="宋体"/>
                <w:color w:val="000000"/>
                <w:sz w:val="22"/>
                <w:szCs w:val="22"/>
                <w:lang w:bidi="ar"/>
              </w:rPr>
              <w:t>建设项目内部控制实施情况</w:t>
            </w:r>
          </w:p>
          <w:p>
            <w:pPr>
              <w:spacing w:line="360" w:lineRule="exact"/>
              <w:rPr>
                <w:rFonts w:hint="eastAsia" w:ascii="宋体" w:hAnsi="宋体" w:cs="宋体"/>
                <w:color w:val="000000"/>
                <w:sz w:val="22"/>
                <w:szCs w:val="22"/>
              </w:rPr>
            </w:pPr>
          </w:p>
        </w:tc>
        <w:tc>
          <w:tcPr>
            <w:tcW w:w="4304" w:type="dxa"/>
            <w:noWrap w:val="0"/>
            <w:vAlign w:val="center"/>
          </w:tcPr>
          <w:p>
            <w:pPr>
              <w:spacing w:line="360" w:lineRule="exact"/>
              <w:jc w:val="both"/>
              <w:textAlignment w:val="center"/>
              <w:rPr>
                <w:rFonts w:hint="eastAsia" w:ascii="宋体" w:hAnsi="宋体" w:cs="宋体"/>
                <w:color w:val="000000"/>
                <w:sz w:val="22"/>
                <w:szCs w:val="22"/>
              </w:rPr>
            </w:pPr>
            <w:r>
              <w:rPr>
                <w:rFonts w:hint="eastAsia" w:ascii="宋体" w:hAnsi="宋体" w:cs="宋体"/>
                <w:color w:val="000000"/>
                <w:sz w:val="22"/>
                <w:szCs w:val="22"/>
                <w:lang w:bidi="ar"/>
              </w:rPr>
              <w:t>单位是否严格按照制度规定，开展建设项目可行性研究、项目决策、概预算编制与审核、项目合同签署及实施、工程变更、价款支付、项目工程监理、竣工决算、竣工审计等经济业务活动。</w:t>
            </w:r>
          </w:p>
        </w:tc>
        <w:tc>
          <w:tcPr>
            <w:tcW w:w="796" w:type="dxa"/>
            <w:noWrap w:val="0"/>
            <w:vAlign w:val="center"/>
          </w:tcPr>
          <w:p>
            <w:pPr>
              <w:spacing w:line="360" w:lineRule="exact"/>
              <w:jc w:val="center"/>
              <w:rPr>
                <w:rFonts w:hint="eastAsia" w:ascii="宋体" w:hAnsi="宋体" w:cs="宋体"/>
                <w:color w:val="000000"/>
                <w:sz w:val="22"/>
                <w:szCs w:val="22"/>
              </w:rPr>
            </w:pPr>
            <w:r>
              <w:rPr>
                <w:rFonts w:hint="eastAsia" w:ascii="宋体" w:hAnsi="宋体" w:cs="宋体"/>
                <w:color w:val="000000"/>
                <w:sz w:val="22"/>
                <w:szCs w:val="22"/>
              </w:rPr>
              <w:t>3</w:t>
            </w:r>
          </w:p>
        </w:tc>
        <w:tc>
          <w:tcPr>
            <w:tcW w:w="5478" w:type="dxa"/>
            <w:noWrap w:val="0"/>
            <w:vAlign w:val="center"/>
          </w:tcPr>
          <w:p>
            <w:pPr>
              <w:spacing w:line="360" w:lineRule="exact"/>
              <w:rPr>
                <w:rFonts w:hint="eastAsia" w:ascii="宋体" w:hAnsi="宋体" w:cs="宋体"/>
                <w:color w:val="000000"/>
                <w:sz w:val="22"/>
                <w:szCs w:val="22"/>
              </w:rPr>
            </w:pPr>
            <w:r>
              <w:rPr>
                <w:rFonts w:hint="eastAsia" w:ascii="宋体" w:hAnsi="宋体" w:cs="宋体"/>
                <w:color w:val="000000"/>
                <w:sz w:val="22"/>
                <w:szCs w:val="22"/>
                <w:lang w:bidi="ar"/>
              </w:rPr>
              <w:t>严格按照制度执行的，得满分；每识别一项未按制度执行的，扣1分，扣完为止。</w:t>
            </w: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950" w:type="dxa"/>
            <w:vMerge w:val="continue"/>
            <w:noWrap w:val="0"/>
            <w:vAlign w:val="center"/>
          </w:tcPr>
          <w:p>
            <w:pPr>
              <w:spacing w:line="360" w:lineRule="exact"/>
              <w:jc w:val="center"/>
              <w:rPr>
                <w:rFonts w:hint="eastAsia" w:ascii="宋体" w:hAnsi="宋体" w:cs="宋体"/>
                <w:color w:val="000000"/>
                <w:sz w:val="22"/>
                <w:szCs w:val="22"/>
              </w:rPr>
            </w:pPr>
          </w:p>
        </w:tc>
        <w:tc>
          <w:tcPr>
            <w:tcW w:w="1304" w:type="dxa"/>
            <w:vMerge w:val="continue"/>
            <w:noWrap w:val="0"/>
            <w:vAlign w:val="center"/>
          </w:tcPr>
          <w:p>
            <w:pPr>
              <w:spacing w:line="360" w:lineRule="exact"/>
              <w:jc w:val="center"/>
              <w:rPr>
                <w:rFonts w:hint="eastAsia" w:ascii="宋体" w:hAnsi="宋体" w:cs="宋体"/>
                <w:color w:val="000000"/>
                <w:sz w:val="22"/>
                <w:szCs w:val="22"/>
              </w:rPr>
            </w:pPr>
          </w:p>
        </w:tc>
        <w:tc>
          <w:tcPr>
            <w:tcW w:w="1835" w:type="dxa"/>
            <w:gridSpan w:val="2"/>
            <w:vMerge w:val="continue"/>
            <w:noWrap w:val="0"/>
            <w:vAlign w:val="center"/>
          </w:tcPr>
          <w:p>
            <w:pPr>
              <w:spacing w:line="360" w:lineRule="exact"/>
              <w:rPr>
                <w:rFonts w:hint="eastAsia" w:ascii="宋体" w:hAnsi="宋体" w:cs="宋体"/>
                <w:color w:val="000000"/>
                <w:lang w:bidi="ar"/>
              </w:rPr>
            </w:pPr>
          </w:p>
        </w:tc>
        <w:tc>
          <w:tcPr>
            <w:tcW w:w="4304" w:type="dxa"/>
            <w:noWrap w:val="0"/>
            <w:vAlign w:val="center"/>
          </w:tcPr>
          <w:p>
            <w:pPr>
              <w:spacing w:line="360" w:lineRule="exact"/>
              <w:jc w:val="both"/>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单位是否按照制度规定执行修缮项目决策、招标、项目实施、资金支付、验收及移交等程序。</w:t>
            </w:r>
          </w:p>
        </w:tc>
        <w:tc>
          <w:tcPr>
            <w:tcW w:w="796" w:type="dxa"/>
            <w:noWrap w:val="0"/>
            <w:vAlign w:val="center"/>
          </w:tcPr>
          <w:p>
            <w:pPr>
              <w:spacing w:line="360" w:lineRule="exact"/>
              <w:jc w:val="center"/>
              <w:rPr>
                <w:rFonts w:ascii="宋体" w:hAnsi="宋体" w:cs="宋体"/>
                <w:color w:val="000000"/>
                <w:sz w:val="22"/>
                <w:szCs w:val="22"/>
              </w:rPr>
            </w:pPr>
            <w:r>
              <w:rPr>
                <w:rFonts w:hint="eastAsia" w:ascii="宋体" w:hAnsi="宋体" w:cs="宋体"/>
                <w:color w:val="000000"/>
                <w:sz w:val="22"/>
                <w:szCs w:val="22"/>
              </w:rPr>
              <w:t>2</w:t>
            </w:r>
          </w:p>
        </w:tc>
        <w:tc>
          <w:tcPr>
            <w:tcW w:w="5478" w:type="dxa"/>
            <w:noWrap w:val="0"/>
            <w:vAlign w:val="center"/>
          </w:tcPr>
          <w:p>
            <w:pPr>
              <w:spacing w:line="360" w:lineRule="exact"/>
              <w:rPr>
                <w:rFonts w:hint="eastAsia" w:ascii="宋体" w:hAnsi="宋体" w:cs="宋体"/>
                <w:color w:val="000000"/>
                <w:sz w:val="22"/>
                <w:szCs w:val="22"/>
              </w:rPr>
            </w:pPr>
            <w:r>
              <w:rPr>
                <w:rFonts w:hint="eastAsia" w:ascii="宋体" w:hAnsi="宋体" w:cs="宋体"/>
                <w:color w:val="000000"/>
                <w:sz w:val="22"/>
                <w:szCs w:val="22"/>
                <w:lang w:bidi="ar"/>
              </w:rPr>
              <w:t>每发现一处未按照规定执行的，扣0.5分，扣完为止。</w:t>
            </w: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950" w:type="dxa"/>
            <w:vMerge w:val="continue"/>
            <w:noWrap w:val="0"/>
            <w:vAlign w:val="top"/>
          </w:tcPr>
          <w:p>
            <w:pPr>
              <w:spacing w:line="360" w:lineRule="exact"/>
              <w:jc w:val="center"/>
              <w:rPr>
                <w:rFonts w:hint="eastAsia" w:ascii="宋体" w:hAnsi="宋体" w:cs="宋体"/>
                <w:color w:val="000000"/>
                <w:sz w:val="22"/>
                <w:szCs w:val="22"/>
              </w:rPr>
            </w:pPr>
          </w:p>
        </w:tc>
        <w:tc>
          <w:tcPr>
            <w:tcW w:w="1304" w:type="dxa"/>
            <w:vMerge w:val="restart"/>
            <w:noWrap w:val="0"/>
            <w:vAlign w:val="center"/>
          </w:tcPr>
          <w:p>
            <w:pPr>
              <w:spacing w:line="360" w:lineRule="exact"/>
              <w:jc w:val="center"/>
              <w:rPr>
                <w:rFonts w:hint="eastAsia" w:ascii="宋体" w:hAnsi="宋体" w:cs="宋体"/>
                <w:color w:val="000000"/>
                <w:sz w:val="22"/>
                <w:szCs w:val="22"/>
              </w:rPr>
            </w:pPr>
            <w:r>
              <w:rPr>
                <w:rFonts w:hint="eastAsia" w:ascii="宋体" w:hAnsi="宋体" w:cs="宋体"/>
                <w:color w:val="000000"/>
                <w:sz w:val="22"/>
                <w:szCs w:val="22"/>
                <w:lang w:bidi="ar"/>
              </w:rPr>
              <w:t>合同管理内部控制</w:t>
            </w:r>
          </w:p>
        </w:tc>
        <w:tc>
          <w:tcPr>
            <w:tcW w:w="1835" w:type="dxa"/>
            <w:gridSpan w:val="2"/>
            <w:noWrap w:val="0"/>
            <w:vAlign w:val="center"/>
          </w:tcPr>
          <w:p>
            <w:pPr>
              <w:spacing w:line="360" w:lineRule="exact"/>
              <w:rPr>
                <w:rFonts w:hint="eastAsia" w:ascii="宋体" w:hAnsi="宋体" w:cs="宋体"/>
                <w:color w:val="000000"/>
                <w:sz w:val="22"/>
                <w:szCs w:val="22"/>
              </w:rPr>
            </w:pPr>
            <w:r>
              <w:rPr>
                <w:rFonts w:hint="eastAsia" w:ascii="宋体" w:hAnsi="宋体" w:cs="宋体"/>
                <w:color w:val="000000"/>
                <w:sz w:val="22"/>
                <w:szCs w:val="22"/>
              </w:rPr>
              <w:t>合同管理</w:t>
            </w:r>
            <w:r>
              <w:rPr>
                <w:rFonts w:hint="eastAsia" w:ascii="宋体" w:hAnsi="宋体" w:cs="宋体"/>
                <w:color w:val="000000"/>
                <w:sz w:val="22"/>
                <w:szCs w:val="22"/>
                <w:lang w:bidi="ar"/>
              </w:rPr>
              <w:t>内部</w:t>
            </w:r>
            <w:r>
              <w:rPr>
                <w:rFonts w:hint="eastAsia" w:ascii="宋体" w:hAnsi="宋体" w:cs="宋体"/>
                <w:color w:val="000000"/>
                <w:sz w:val="22"/>
                <w:szCs w:val="22"/>
              </w:rPr>
              <w:t>控制建</w:t>
            </w:r>
            <w:r>
              <w:rPr>
                <w:rFonts w:hint="eastAsia" w:ascii="宋体" w:hAnsi="宋体" w:cs="宋体"/>
                <w:color w:val="000000"/>
                <w:sz w:val="22"/>
                <w:szCs w:val="22"/>
                <w:lang w:eastAsia="zh-CN" w:bidi="ar"/>
              </w:rPr>
              <w:t>立</w:t>
            </w:r>
            <w:r>
              <w:rPr>
                <w:rFonts w:hint="eastAsia" w:ascii="宋体" w:hAnsi="宋体" w:cs="宋体"/>
                <w:color w:val="000000"/>
                <w:sz w:val="22"/>
                <w:szCs w:val="22"/>
              </w:rPr>
              <w:t>情况</w:t>
            </w:r>
          </w:p>
        </w:tc>
        <w:tc>
          <w:tcPr>
            <w:tcW w:w="4304" w:type="dxa"/>
            <w:noWrap w:val="0"/>
            <w:vAlign w:val="center"/>
          </w:tcPr>
          <w:p>
            <w:pPr>
              <w:spacing w:line="360" w:lineRule="exact"/>
              <w:jc w:val="both"/>
              <w:textAlignment w:val="center"/>
              <w:rPr>
                <w:rFonts w:hint="eastAsia" w:ascii="宋体" w:hAnsi="宋体" w:cs="宋体"/>
                <w:color w:val="000000"/>
                <w:sz w:val="22"/>
                <w:szCs w:val="22"/>
              </w:rPr>
            </w:pPr>
            <w:r>
              <w:rPr>
                <w:rFonts w:hint="eastAsia" w:ascii="宋体" w:hAnsi="宋体" w:cs="宋体"/>
                <w:color w:val="000000"/>
                <w:sz w:val="22"/>
                <w:szCs w:val="22"/>
                <w:lang w:bidi="ar"/>
              </w:rPr>
              <w:t>单位是否依据法律法规和内部管理实际需要，建立健全合同管理内部控制制度。</w:t>
            </w:r>
          </w:p>
        </w:tc>
        <w:tc>
          <w:tcPr>
            <w:tcW w:w="796" w:type="dxa"/>
            <w:noWrap w:val="0"/>
            <w:vAlign w:val="center"/>
          </w:tcPr>
          <w:p>
            <w:pPr>
              <w:spacing w:line="36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2</w:t>
            </w:r>
          </w:p>
        </w:tc>
        <w:tc>
          <w:tcPr>
            <w:tcW w:w="5478" w:type="dxa"/>
            <w:noWrap w:val="0"/>
            <w:vAlign w:val="center"/>
          </w:tcPr>
          <w:p>
            <w:pPr>
              <w:spacing w:line="360" w:lineRule="exact"/>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每发现一家应建立未建立相关制度的，扣1分，扣完为止。</w:t>
            </w: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950" w:type="dxa"/>
            <w:vMerge w:val="continue"/>
            <w:noWrap w:val="0"/>
            <w:vAlign w:val="top"/>
          </w:tcPr>
          <w:p>
            <w:pPr>
              <w:spacing w:line="360" w:lineRule="exact"/>
              <w:jc w:val="center"/>
              <w:rPr>
                <w:rFonts w:hint="eastAsia" w:ascii="宋体" w:hAnsi="宋体" w:cs="宋体"/>
                <w:color w:val="000000"/>
                <w:sz w:val="22"/>
                <w:szCs w:val="22"/>
              </w:rPr>
            </w:pPr>
          </w:p>
        </w:tc>
        <w:tc>
          <w:tcPr>
            <w:tcW w:w="1304" w:type="dxa"/>
            <w:vMerge w:val="continue"/>
            <w:noWrap w:val="0"/>
            <w:vAlign w:val="top"/>
          </w:tcPr>
          <w:p>
            <w:pPr>
              <w:spacing w:line="360" w:lineRule="exact"/>
              <w:jc w:val="center"/>
              <w:rPr>
                <w:rFonts w:hint="eastAsia" w:ascii="宋体" w:hAnsi="宋体" w:cs="宋体"/>
                <w:color w:val="000000"/>
                <w:sz w:val="22"/>
                <w:szCs w:val="22"/>
              </w:rPr>
            </w:pPr>
          </w:p>
        </w:tc>
        <w:tc>
          <w:tcPr>
            <w:tcW w:w="1835" w:type="dxa"/>
            <w:gridSpan w:val="2"/>
            <w:noWrap w:val="0"/>
            <w:vAlign w:val="center"/>
          </w:tcPr>
          <w:p>
            <w:pPr>
              <w:spacing w:line="360" w:lineRule="exact"/>
            </w:pPr>
            <w:r>
              <w:rPr>
                <w:rFonts w:hint="eastAsia" w:ascii="宋体" w:hAnsi="宋体" w:cs="宋体"/>
                <w:color w:val="000000"/>
                <w:sz w:val="22"/>
                <w:szCs w:val="22"/>
                <w:lang w:bidi="ar"/>
              </w:rPr>
              <w:t>合同管理内部控制实施情况</w:t>
            </w:r>
          </w:p>
          <w:p>
            <w:pPr>
              <w:spacing w:line="360" w:lineRule="exact"/>
              <w:textAlignment w:val="center"/>
              <w:rPr>
                <w:rFonts w:hint="eastAsia" w:ascii="宋体" w:hAnsi="宋体" w:cs="宋体"/>
                <w:color w:val="000000"/>
                <w:sz w:val="22"/>
                <w:szCs w:val="22"/>
              </w:rPr>
            </w:pPr>
          </w:p>
        </w:tc>
        <w:tc>
          <w:tcPr>
            <w:tcW w:w="4304" w:type="dxa"/>
            <w:noWrap w:val="0"/>
            <w:vAlign w:val="center"/>
          </w:tcPr>
          <w:p>
            <w:pPr>
              <w:spacing w:line="360" w:lineRule="exact"/>
              <w:jc w:val="both"/>
              <w:textAlignment w:val="center"/>
              <w:rPr>
                <w:rFonts w:hint="eastAsia" w:ascii="宋体" w:hAnsi="宋体" w:cs="宋体"/>
                <w:color w:val="000000"/>
                <w:sz w:val="22"/>
                <w:szCs w:val="22"/>
              </w:rPr>
            </w:pPr>
            <w:r>
              <w:rPr>
                <w:rFonts w:hint="eastAsia" w:ascii="宋体" w:hAnsi="宋体" w:cs="宋体"/>
                <w:color w:val="000000"/>
                <w:sz w:val="22"/>
                <w:szCs w:val="22"/>
                <w:lang w:bidi="ar"/>
              </w:rPr>
              <w:t>单位是否按照制度规定，开展合同订立、登记、合同履行监督审查、价款结算和账务处理。</w:t>
            </w:r>
          </w:p>
        </w:tc>
        <w:tc>
          <w:tcPr>
            <w:tcW w:w="796" w:type="dxa"/>
            <w:noWrap w:val="0"/>
            <w:vAlign w:val="center"/>
          </w:tcPr>
          <w:p>
            <w:pPr>
              <w:spacing w:line="360" w:lineRule="exact"/>
              <w:jc w:val="center"/>
              <w:rPr>
                <w:rFonts w:ascii="宋体" w:hAnsi="宋体" w:cs="宋体"/>
                <w:color w:val="000000"/>
                <w:sz w:val="22"/>
                <w:szCs w:val="22"/>
              </w:rPr>
            </w:pPr>
            <w:r>
              <w:rPr>
                <w:rFonts w:hint="eastAsia" w:ascii="宋体" w:hAnsi="宋体" w:cs="宋体"/>
                <w:color w:val="000000"/>
                <w:sz w:val="22"/>
                <w:szCs w:val="22"/>
              </w:rPr>
              <w:t>2</w:t>
            </w:r>
          </w:p>
        </w:tc>
        <w:tc>
          <w:tcPr>
            <w:tcW w:w="5478" w:type="dxa"/>
            <w:noWrap w:val="0"/>
            <w:vAlign w:val="center"/>
          </w:tcPr>
          <w:p>
            <w:pPr>
              <w:spacing w:line="360" w:lineRule="exact"/>
              <w:rPr>
                <w:rFonts w:hint="eastAsia" w:ascii="宋体" w:hAnsi="宋体" w:cs="宋体"/>
                <w:color w:val="000000"/>
                <w:sz w:val="22"/>
                <w:szCs w:val="22"/>
              </w:rPr>
            </w:pPr>
            <w:r>
              <w:rPr>
                <w:rFonts w:hint="eastAsia" w:ascii="宋体" w:hAnsi="宋体" w:cs="宋体"/>
                <w:color w:val="000000"/>
                <w:sz w:val="22"/>
                <w:szCs w:val="22"/>
                <w:lang w:bidi="ar"/>
              </w:rPr>
              <w:t>严格按照制度执行的，得满分；每识别一项未按制度执行的，扣0.5分，扣完为止。</w:t>
            </w: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8393" w:type="dxa"/>
            <w:gridSpan w:val="5"/>
            <w:noWrap w:val="0"/>
            <w:vAlign w:val="center"/>
          </w:tcPr>
          <w:p>
            <w:pPr>
              <w:spacing w:line="360" w:lineRule="exact"/>
              <w:jc w:val="center"/>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小计</w:t>
            </w:r>
          </w:p>
        </w:tc>
        <w:tc>
          <w:tcPr>
            <w:tcW w:w="796" w:type="dxa"/>
            <w:noWrap w:val="0"/>
            <w:vAlign w:val="center"/>
          </w:tcPr>
          <w:p>
            <w:pPr>
              <w:spacing w:line="360" w:lineRule="exact"/>
              <w:jc w:val="center"/>
              <w:rPr>
                <w:rFonts w:ascii="宋体" w:hAnsi="宋体" w:cs="宋体"/>
                <w:color w:val="000000"/>
                <w:sz w:val="22"/>
                <w:szCs w:val="22"/>
              </w:rPr>
            </w:pPr>
            <w:r>
              <w:rPr>
                <w:rFonts w:hint="eastAsia" w:ascii="宋体" w:hAnsi="宋体" w:cs="宋体"/>
                <w:color w:val="000000"/>
                <w:sz w:val="22"/>
                <w:szCs w:val="22"/>
              </w:rPr>
              <w:t>35</w:t>
            </w:r>
          </w:p>
        </w:tc>
        <w:tc>
          <w:tcPr>
            <w:tcW w:w="5478" w:type="dxa"/>
            <w:noWrap w:val="0"/>
            <w:vAlign w:val="center"/>
          </w:tcPr>
          <w:p>
            <w:pPr>
              <w:spacing w:line="360" w:lineRule="exact"/>
              <w:jc w:val="center"/>
              <w:rPr>
                <w:rFonts w:hint="eastAsia" w:ascii="宋体" w:hAnsi="宋体" w:cs="宋体"/>
                <w:color w:val="000000"/>
                <w:sz w:val="22"/>
                <w:szCs w:val="22"/>
              </w:rPr>
            </w:pP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blHeader/>
        </w:trPr>
        <w:tc>
          <w:tcPr>
            <w:tcW w:w="950" w:type="dxa"/>
            <w:vMerge w:val="restart"/>
            <w:noWrap w:val="0"/>
            <w:vAlign w:val="center"/>
          </w:tcPr>
          <w:p>
            <w:pPr>
              <w:spacing w:line="36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三、内部监督</w:t>
            </w:r>
          </w:p>
        </w:tc>
        <w:tc>
          <w:tcPr>
            <w:tcW w:w="1304" w:type="dxa"/>
            <w:noWrap w:val="0"/>
            <w:vAlign w:val="center"/>
          </w:tcPr>
          <w:p>
            <w:pPr>
              <w:spacing w:line="36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内部监督机制建立情况</w:t>
            </w:r>
          </w:p>
        </w:tc>
        <w:tc>
          <w:tcPr>
            <w:tcW w:w="1835" w:type="dxa"/>
            <w:gridSpan w:val="2"/>
            <w:noWrap w:val="0"/>
            <w:vAlign w:val="center"/>
          </w:tcPr>
          <w:p>
            <w:pPr>
              <w:spacing w:line="360" w:lineRule="exact"/>
              <w:textAlignment w:val="center"/>
              <w:rPr>
                <w:rFonts w:hint="eastAsia" w:ascii="宋体" w:hAnsi="宋体" w:cs="宋体"/>
                <w:color w:val="000000"/>
                <w:sz w:val="22"/>
                <w:szCs w:val="22"/>
              </w:rPr>
            </w:pPr>
            <w:r>
              <w:rPr>
                <w:rFonts w:hint="eastAsia" w:ascii="宋体" w:hAnsi="宋体" w:cs="宋体"/>
                <w:color w:val="000000"/>
                <w:sz w:val="22"/>
                <w:szCs w:val="22"/>
                <w:lang w:bidi="ar"/>
              </w:rPr>
              <w:t>分离设置</w:t>
            </w:r>
          </w:p>
        </w:tc>
        <w:tc>
          <w:tcPr>
            <w:tcW w:w="4304" w:type="dxa"/>
            <w:noWrap w:val="0"/>
            <w:vAlign w:val="center"/>
          </w:tcPr>
          <w:p>
            <w:pPr>
              <w:spacing w:line="360" w:lineRule="exact"/>
              <w:jc w:val="both"/>
              <w:textAlignment w:val="center"/>
              <w:rPr>
                <w:rFonts w:hint="eastAsia" w:ascii="宋体" w:hAnsi="宋体" w:cs="宋体"/>
                <w:color w:val="000000"/>
                <w:sz w:val="22"/>
                <w:szCs w:val="22"/>
              </w:rPr>
            </w:pPr>
            <w:r>
              <w:rPr>
                <w:rFonts w:hint="eastAsia" w:ascii="宋体" w:hAnsi="宋体" w:cs="宋体"/>
                <w:color w:val="000000"/>
                <w:sz w:val="22"/>
                <w:szCs w:val="22"/>
                <w:lang w:bidi="ar"/>
              </w:rPr>
              <w:t>监督评价部门（岗位）是否与内部控制</w:t>
            </w:r>
            <w:r>
              <w:rPr>
                <w:rFonts w:hint="eastAsia" w:ascii="宋体" w:hAnsi="宋体" w:cs="宋体"/>
                <w:color w:val="000000"/>
                <w:sz w:val="22"/>
                <w:szCs w:val="22"/>
                <w:lang w:eastAsia="zh-CN" w:bidi="ar"/>
              </w:rPr>
              <w:t>建设</w:t>
            </w:r>
            <w:r>
              <w:rPr>
                <w:rFonts w:hint="eastAsia" w:ascii="宋体" w:hAnsi="宋体" w:cs="宋体"/>
                <w:color w:val="000000"/>
                <w:sz w:val="22"/>
                <w:szCs w:val="22"/>
                <w:lang w:bidi="ar"/>
              </w:rPr>
              <w:t>牵头部门（岗位）相互分离。</w:t>
            </w:r>
          </w:p>
        </w:tc>
        <w:tc>
          <w:tcPr>
            <w:tcW w:w="796" w:type="dxa"/>
            <w:noWrap w:val="0"/>
            <w:vAlign w:val="center"/>
          </w:tcPr>
          <w:p>
            <w:pPr>
              <w:spacing w:line="360" w:lineRule="exact"/>
              <w:jc w:val="center"/>
              <w:textAlignment w:val="center"/>
              <w:rPr>
                <w:rFonts w:ascii="宋体" w:hAnsi="宋体" w:cs="宋体"/>
                <w:color w:val="000000"/>
                <w:sz w:val="22"/>
                <w:szCs w:val="22"/>
              </w:rPr>
            </w:pPr>
            <w:r>
              <w:rPr>
                <w:rFonts w:hint="eastAsia" w:ascii="宋体" w:hAnsi="宋体" w:cs="宋体"/>
                <w:color w:val="000000"/>
                <w:sz w:val="22"/>
                <w:szCs w:val="22"/>
              </w:rPr>
              <w:t>2</w:t>
            </w:r>
          </w:p>
        </w:tc>
        <w:tc>
          <w:tcPr>
            <w:tcW w:w="5478" w:type="dxa"/>
            <w:noWrap w:val="0"/>
            <w:vAlign w:val="center"/>
          </w:tcPr>
          <w:p>
            <w:pPr>
              <w:spacing w:line="360" w:lineRule="exact"/>
              <w:textAlignment w:val="center"/>
              <w:rPr>
                <w:rFonts w:ascii="宋体" w:hAnsi="宋体" w:cs="宋体"/>
                <w:color w:val="000000"/>
                <w:sz w:val="22"/>
                <w:szCs w:val="22"/>
                <w:lang w:bidi="ar"/>
              </w:rPr>
            </w:pPr>
            <w:r>
              <w:rPr>
                <w:rFonts w:hint="eastAsia" w:ascii="宋体" w:hAnsi="宋体" w:cs="宋体"/>
                <w:color w:val="000000"/>
                <w:sz w:val="22"/>
                <w:szCs w:val="22"/>
                <w:lang w:bidi="ar"/>
              </w:rPr>
              <w:t>已实现评价部门（岗位）和牵头部门（岗位）分离的，得满分；未实现的，不得分。</w:t>
            </w:r>
          </w:p>
        </w:tc>
        <w:tc>
          <w:tcPr>
            <w:tcW w:w="660" w:type="dxa"/>
            <w:noWrap w:val="0"/>
            <w:vAlign w:val="center"/>
          </w:tcPr>
          <w:p>
            <w:pPr>
              <w:spacing w:line="360" w:lineRule="exact"/>
              <w:jc w:val="center"/>
              <w:textAlignment w:val="center"/>
              <w:rPr>
                <w:rFonts w:hint="eastAsia" w:ascii="宋体" w:hAnsi="宋体" w:cs="宋体"/>
                <w:color w:val="00000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trPr>
        <w:tc>
          <w:tcPr>
            <w:tcW w:w="950" w:type="dxa"/>
            <w:vMerge w:val="continue"/>
            <w:noWrap w:val="0"/>
            <w:vAlign w:val="center"/>
          </w:tcPr>
          <w:p>
            <w:pPr>
              <w:spacing w:line="360" w:lineRule="exact"/>
              <w:jc w:val="center"/>
              <w:rPr>
                <w:rFonts w:hint="eastAsia" w:ascii="宋体" w:hAnsi="宋体" w:cs="宋体"/>
                <w:color w:val="000000"/>
                <w:sz w:val="22"/>
                <w:szCs w:val="22"/>
              </w:rPr>
            </w:pPr>
          </w:p>
        </w:tc>
        <w:tc>
          <w:tcPr>
            <w:tcW w:w="1304" w:type="dxa"/>
            <w:noWrap w:val="0"/>
            <w:vAlign w:val="center"/>
          </w:tcPr>
          <w:p>
            <w:pPr>
              <w:spacing w:line="36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内部监督机制实施情况</w:t>
            </w:r>
          </w:p>
        </w:tc>
        <w:tc>
          <w:tcPr>
            <w:tcW w:w="1835" w:type="dxa"/>
            <w:gridSpan w:val="2"/>
            <w:noWrap w:val="0"/>
            <w:vAlign w:val="center"/>
          </w:tcPr>
          <w:p>
            <w:pPr>
              <w:spacing w:line="360" w:lineRule="exact"/>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问题整改情况</w:t>
            </w:r>
          </w:p>
        </w:tc>
        <w:tc>
          <w:tcPr>
            <w:tcW w:w="4304" w:type="dxa"/>
            <w:noWrap w:val="0"/>
            <w:vAlign w:val="center"/>
          </w:tcPr>
          <w:p>
            <w:pPr>
              <w:spacing w:line="360" w:lineRule="exact"/>
              <w:jc w:val="both"/>
              <w:textAlignment w:val="center"/>
              <w:rPr>
                <w:rFonts w:hint="eastAsia" w:ascii="宋体" w:hAnsi="宋体" w:cs="宋体"/>
                <w:color w:val="000000"/>
                <w:sz w:val="22"/>
                <w:szCs w:val="22"/>
              </w:rPr>
            </w:pPr>
            <w:r>
              <w:rPr>
                <w:rFonts w:hint="eastAsia" w:ascii="宋体" w:hAnsi="宋体" w:cs="宋体"/>
                <w:color w:val="000000"/>
                <w:sz w:val="22"/>
                <w:szCs w:val="22"/>
                <w:lang w:bidi="ar"/>
              </w:rPr>
              <w:t>本年度风险评估、外部审计、内部审计、纪检监察、巡视、内部控制评价等内外部监督发现的内部控制相关问题的整改落实情况。</w:t>
            </w:r>
          </w:p>
        </w:tc>
        <w:tc>
          <w:tcPr>
            <w:tcW w:w="796" w:type="dxa"/>
            <w:noWrap w:val="0"/>
            <w:vAlign w:val="center"/>
          </w:tcPr>
          <w:p>
            <w:pPr>
              <w:spacing w:line="360" w:lineRule="exact"/>
              <w:jc w:val="center"/>
              <w:rPr>
                <w:rFonts w:ascii="宋体" w:hAnsi="宋体" w:cs="宋体"/>
                <w:color w:val="000000"/>
                <w:sz w:val="22"/>
                <w:szCs w:val="22"/>
              </w:rPr>
            </w:pPr>
            <w:r>
              <w:rPr>
                <w:rFonts w:hint="eastAsia" w:ascii="宋体" w:hAnsi="宋体" w:cs="宋体"/>
                <w:color w:val="000000"/>
                <w:sz w:val="22"/>
                <w:szCs w:val="22"/>
              </w:rPr>
              <w:t>1</w:t>
            </w:r>
          </w:p>
        </w:tc>
        <w:tc>
          <w:tcPr>
            <w:tcW w:w="5478" w:type="dxa"/>
            <w:noWrap w:val="0"/>
            <w:vAlign w:val="center"/>
          </w:tcPr>
          <w:p>
            <w:pPr>
              <w:spacing w:line="360" w:lineRule="exact"/>
              <w:rPr>
                <w:rFonts w:ascii="宋体" w:hAnsi="宋体" w:cs="宋体"/>
                <w:color w:val="000000"/>
                <w:sz w:val="22"/>
                <w:szCs w:val="22"/>
                <w:lang w:bidi="ar"/>
              </w:rPr>
            </w:pPr>
            <w:r>
              <w:rPr>
                <w:rFonts w:hint="eastAsia" w:ascii="宋体" w:hAnsi="宋体" w:cs="宋体"/>
                <w:color w:val="000000"/>
                <w:sz w:val="22"/>
                <w:szCs w:val="22"/>
                <w:lang w:bidi="ar"/>
              </w:rPr>
              <w:t>每发现一处逾期未整改完成的，扣0.5分，扣完为止。</w:t>
            </w: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trPr>
        <w:tc>
          <w:tcPr>
            <w:tcW w:w="8393" w:type="dxa"/>
            <w:gridSpan w:val="5"/>
            <w:noWrap w:val="0"/>
            <w:vAlign w:val="center"/>
          </w:tcPr>
          <w:p>
            <w:pPr>
              <w:spacing w:line="360" w:lineRule="exact"/>
              <w:jc w:val="center"/>
              <w:textAlignment w:val="center"/>
              <w:rPr>
                <w:rFonts w:ascii="宋体" w:hAnsi="宋体" w:cs="宋体"/>
                <w:color w:val="000000"/>
                <w:sz w:val="22"/>
                <w:szCs w:val="22"/>
                <w:lang w:bidi="ar"/>
              </w:rPr>
            </w:pPr>
            <w:r>
              <w:rPr>
                <w:rFonts w:hint="eastAsia" w:ascii="宋体" w:hAnsi="宋体" w:cs="宋体"/>
                <w:color w:val="000000"/>
                <w:sz w:val="22"/>
                <w:szCs w:val="22"/>
                <w:lang w:bidi="ar"/>
              </w:rPr>
              <w:t>小计</w:t>
            </w:r>
          </w:p>
        </w:tc>
        <w:tc>
          <w:tcPr>
            <w:tcW w:w="796" w:type="dxa"/>
            <w:noWrap w:val="0"/>
            <w:vAlign w:val="center"/>
          </w:tcPr>
          <w:p>
            <w:pPr>
              <w:spacing w:line="360" w:lineRule="exact"/>
              <w:jc w:val="center"/>
              <w:rPr>
                <w:rFonts w:ascii="宋体" w:hAnsi="宋体" w:cs="宋体"/>
                <w:color w:val="000000"/>
                <w:sz w:val="22"/>
                <w:szCs w:val="22"/>
              </w:rPr>
            </w:pPr>
            <w:r>
              <w:rPr>
                <w:rFonts w:hint="eastAsia" w:ascii="宋体" w:hAnsi="宋体" w:cs="宋体"/>
                <w:color w:val="000000"/>
                <w:sz w:val="22"/>
                <w:szCs w:val="22"/>
              </w:rPr>
              <w:t>3</w:t>
            </w:r>
          </w:p>
        </w:tc>
        <w:tc>
          <w:tcPr>
            <w:tcW w:w="5478" w:type="dxa"/>
            <w:noWrap w:val="0"/>
            <w:vAlign w:val="center"/>
          </w:tcPr>
          <w:p>
            <w:pPr>
              <w:spacing w:line="360" w:lineRule="exact"/>
              <w:rPr>
                <w:rFonts w:hint="eastAsia" w:ascii="宋体" w:hAnsi="宋体" w:cs="宋体"/>
                <w:color w:val="000000"/>
                <w:sz w:val="22"/>
                <w:szCs w:val="22"/>
                <w:lang w:bidi="ar"/>
              </w:rPr>
            </w:pP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trPr>
        <w:tc>
          <w:tcPr>
            <w:tcW w:w="950" w:type="dxa"/>
            <w:vMerge w:val="restart"/>
            <w:noWrap w:val="0"/>
            <w:vAlign w:val="center"/>
          </w:tcPr>
          <w:p>
            <w:pPr>
              <w:spacing w:line="360" w:lineRule="exact"/>
              <w:jc w:val="center"/>
              <w:rPr>
                <w:rFonts w:hint="eastAsia" w:ascii="宋体" w:hAnsi="宋体" w:cs="宋体"/>
                <w:color w:val="000000"/>
                <w:sz w:val="22"/>
                <w:szCs w:val="22"/>
              </w:rPr>
            </w:pPr>
            <w:r>
              <w:rPr>
                <w:rFonts w:hint="eastAsia" w:ascii="宋体" w:hAnsi="宋体" w:cs="宋体"/>
                <w:color w:val="000000"/>
                <w:sz w:val="22"/>
                <w:szCs w:val="22"/>
                <w:lang w:bidi="ar"/>
              </w:rPr>
              <w:t>四、部门本级及所属单位内部控制评价工作</w:t>
            </w:r>
          </w:p>
        </w:tc>
        <w:tc>
          <w:tcPr>
            <w:tcW w:w="1304" w:type="dxa"/>
            <w:vMerge w:val="restart"/>
            <w:noWrap w:val="0"/>
            <w:vAlign w:val="center"/>
          </w:tcPr>
          <w:p>
            <w:pPr>
              <w:spacing w:line="360" w:lineRule="exact"/>
              <w:jc w:val="center"/>
              <w:textAlignment w:val="center"/>
              <w:rPr>
                <w:rFonts w:ascii="宋体" w:hAnsi="宋体" w:cs="宋体"/>
                <w:color w:val="000000"/>
                <w:sz w:val="22"/>
                <w:szCs w:val="22"/>
                <w:lang w:bidi="ar"/>
              </w:rPr>
            </w:pPr>
            <w:r>
              <w:rPr>
                <w:rFonts w:hint="eastAsia" w:ascii="宋体" w:hAnsi="宋体" w:cs="宋体"/>
                <w:color w:val="000000"/>
                <w:sz w:val="22"/>
                <w:szCs w:val="22"/>
                <w:lang w:bidi="ar"/>
              </w:rPr>
              <w:t>内部控制评价开展情况</w:t>
            </w:r>
          </w:p>
        </w:tc>
        <w:tc>
          <w:tcPr>
            <w:tcW w:w="1835" w:type="dxa"/>
            <w:gridSpan w:val="2"/>
            <w:noWrap w:val="0"/>
            <w:vAlign w:val="center"/>
          </w:tcPr>
          <w:p>
            <w:pPr>
              <w:spacing w:line="360" w:lineRule="exact"/>
              <w:textAlignment w:val="center"/>
              <w:rPr>
                <w:rFonts w:ascii="宋体" w:hAnsi="宋体" w:cs="宋体"/>
                <w:color w:val="000000"/>
                <w:sz w:val="22"/>
                <w:szCs w:val="22"/>
                <w:lang w:bidi="ar"/>
              </w:rPr>
            </w:pPr>
            <w:r>
              <w:rPr>
                <w:rFonts w:hint="eastAsia" w:ascii="宋体" w:hAnsi="宋体" w:cs="宋体"/>
                <w:color w:val="000000"/>
                <w:sz w:val="22"/>
                <w:szCs w:val="22"/>
                <w:lang w:bidi="ar"/>
              </w:rPr>
              <w:t>内部控制评价程序开展情况</w:t>
            </w:r>
          </w:p>
        </w:tc>
        <w:tc>
          <w:tcPr>
            <w:tcW w:w="4304" w:type="dxa"/>
            <w:noWrap w:val="0"/>
            <w:vAlign w:val="center"/>
          </w:tcPr>
          <w:p>
            <w:pPr>
              <w:spacing w:line="360" w:lineRule="exact"/>
              <w:jc w:val="both"/>
              <w:textAlignment w:val="center"/>
              <w:rPr>
                <w:rFonts w:ascii="宋体" w:hAnsi="宋体" w:cs="宋体"/>
                <w:color w:val="000000"/>
                <w:sz w:val="22"/>
                <w:szCs w:val="22"/>
                <w:lang w:bidi="ar"/>
              </w:rPr>
            </w:pPr>
            <w:r>
              <w:rPr>
                <w:rFonts w:hint="eastAsia" w:ascii="宋体" w:hAnsi="宋体" w:cs="宋体"/>
                <w:color w:val="000000"/>
                <w:sz w:val="22"/>
                <w:szCs w:val="22"/>
                <w:lang w:bidi="ar"/>
              </w:rPr>
              <w:t>部门本级及所属单位是否开展内部控制评价工作，内部控制评价是否及时完成。</w:t>
            </w:r>
          </w:p>
        </w:tc>
        <w:tc>
          <w:tcPr>
            <w:tcW w:w="796" w:type="dxa"/>
            <w:noWrap w:val="0"/>
            <w:vAlign w:val="center"/>
          </w:tcPr>
          <w:p>
            <w:pPr>
              <w:spacing w:line="360" w:lineRule="exact"/>
              <w:jc w:val="center"/>
              <w:rPr>
                <w:rFonts w:ascii="宋体" w:hAnsi="宋体" w:cs="宋体"/>
                <w:color w:val="000000"/>
                <w:sz w:val="22"/>
                <w:szCs w:val="22"/>
              </w:rPr>
            </w:pPr>
            <w:r>
              <w:rPr>
                <w:rFonts w:hint="eastAsia" w:ascii="宋体" w:hAnsi="宋体" w:cs="宋体"/>
                <w:color w:val="000000"/>
                <w:sz w:val="22"/>
                <w:szCs w:val="22"/>
              </w:rPr>
              <w:t>6</w:t>
            </w:r>
          </w:p>
        </w:tc>
        <w:tc>
          <w:tcPr>
            <w:tcW w:w="5478" w:type="dxa"/>
            <w:noWrap w:val="0"/>
            <w:vAlign w:val="center"/>
          </w:tcPr>
          <w:p>
            <w:pPr>
              <w:spacing w:line="360" w:lineRule="exact"/>
              <w:rPr>
                <w:rFonts w:ascii="宋体" w:hAnsi="宋体" w:cs="宋体"/>
                <w:color w:val="000000"/>
                <w:sz w:val="22"/>
                <w:szCs w:val="22"/>
                <w:lang w:bidi="ar"/>
              </w:rPr>
            </w:pPr>
            <w:r>
              <w:rPr>
                <w:rFonts w:hint="eastAsia" w:ascii="宋体" w:hAnsi="宋体" w:cs="宋体"/>
                <w:color w:val="000000"/>
                <w:sz w:val="22"/>
                <w:szCs w:val="22"/>
                <w:lang w:bidi="ar"/>
              </w:rPr>
              <w:t>每识别一家单位未开展内部控制评价的，扣2分；每发现一处内部控制评价未及时完成的，视情况扣1-3分，扣完为止。</w:t>
            </w: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trPr>
        <w:tc>
          <w:tcPr>
            <w:tcW w:w="950" w:type="dxa"/>
            <w:vMerge w:val="continue"/>
            <w:noWrap w:val="0"/>
            <w:vAlign w:val="center"/>
          </w:tcPr>
          <w:p>
            <w:pPr>
              <w:spacing w:line="360" w:lineRule="exact"/>
              <w:jc w:val="center"/>
              <w:rPr>
                <w:rFonts w:hint="eastAsia" w:ascii="宋体" w:hAnsi="宋体" w:cs="宋体"/>
                <w:color w:val="000000"/>
                <w:sz w:val="22"/>
                <w:szCs w:val="22"/>
              </w:rPr>
            </w:pPr>
          </w:p>
        </w:tc>
        <w:tc>
          <w:tcPr>
            <w:tcW w:w="1304" w:type="dxa"/>
            <w:vMerge w:val="continue"/>
            <w:noWrap w:val="0"/>
            <w:vAlign w:val="center"/>
          </w:tcPr>
          <w:p>
            <w:pPr>
              <w:spacing w:line="360" w:lineRule="exact"/>
              <w:jc w:val="center"/>
              <w:textAlignment w:val="center"/>
              <w:rPr>
                <w:rFonts w:hint="eastAsia" w:ascii="宋体" w:hAnsi="宋体" w:cs="宋体"/>
                <w:color w:val="000000"/>
                <w:sz w:val="22"/>
                <w:szCs w:val="22"/>
                <w:lang w:bidi="ar"/>
              </w:rPr>
            </w:pPr>
          </w:p>
        </w:tc>
        <w:tc>
          <w:tcPr>
            <w:tcW w:w="1835" w:type="dxa"/>
            <w:gridSpan w:val="2"/>
            <w:noWrap w:val="0"/>
            <w:vAlign w:val="center"/>
          </w:tcPr>
          <w:p>
            <w:pPr>
              <w:spacing w:line="360" w:lineRule="exact"/>
              <w:textAlignment w:val="center"/>
              <w:rPr>
                <w:rFonts w:ascii="宋体" w:hAnsi="宋体" w:cs="宋体"/>
                <w:color w:val="000000"/>
                <w:sz w:val="22"/>
                <w:szCs w:val="22"/>
                <w:lang w:bidi="ar"/>
              </w:rPr>
            </w:pPr>
            <w:r>
              <w:rPr>
                <w:rFonts w:hint="eastAsia" w:ascii="宋体" w:hAnsi="宋体" w:cs="宋体"/>
                <w:color w:val="000000"/>
                <w:sz w:val="22"/>
                <w:szCs w:val="22"/>
                <w:lang w:bidi="ar"/>
              </w:rPr>
              <w:t>内部控制</w:t>
            </w:r>
            <w:r>
              <w:rPr>
                <w:rFonts w:hint="eastAsia" w:ascii="宋体" w:hAnsi="宋体" w:cs="宋体"/>
                <w:sz w:val="22"/>
                <w:szCs w:val="22"/>
              </w:rPr>
              <w:t>评价样本选取情况</w:t>
            </w:r>
          </w:p>
        </w:tc>
        <w:tc>
          <w:tcPr>
            <w:tcW w:w="4304" w:type="dxa"/>
            <w:noWrap w:val="0"/>
            <w:vAlign w:val="center"/>
          </w:tcPr>
          <w:p>
            <w:pPr>
              <w:spacing w:line="360" w:lineRule="exact"/>
              <w:jc w:val="both"/>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部门本级及所属单位内部控制</w:t>
            </w:r>
            <w:r>
              <w:rPr>
                <w:rFonts w:hint="eastAsia" w:ascii="宋体" w:hAnsi="宋体" w:cs="宋体"/>
                <w:sz w:val="22"/>
                <w:szCs w:val="22"/>
              </w:rPr>
              <w:t>评价样本选取是否充足，样本选择存在有意规避问题样本的情况。</w:t>
            </w:r>
          </w:p>
        </w:tc>
        <w:tc>
          <w:tcPr>
            <w:tcW w:w="796" w:type="dxa"/>
            <w:noWrap w:val="0"/>
            <w:vAlign w:val="center"/>
          </w:tcPr>
          <w:p>
            <w:pPr>
              <w:spacing w:line="360" w:lineRule="exact"/>
              <w:jc w:val="center"/>
              <w:rPr>
                <w:rFonts w:ascii="宋体" w:hAnsi="宋体" w:cs="宋体"/>
                <w:color w:val="000000"/>
                <w:sz w:val="22"/>
                <w:szCs w:val="22"/>
              </w:rPr>
            </w:pPr>
            <w:r>
              <w:rPr>
                <w:rFonts w:hint="eastAsia" w:ascii="宋体" w:hAnsi="宋体" w:cs="宋体"/>
                <w:color w:val="000000"/>
                <w:sz w:val="22"/>
                <w:szCs w:val="22"/>
              </w:rPr>
              <w:t>7</w:t>
            </w:r>
          </w:p>
        </w:tc>
        <w:tc>
          <w:tcPr>
            <w:tcW w:w="5478" w:type="dxa"/>
            <w:noWrap w:val="0"/>
            <w:vAlign w:val="center"/>
          </w:tcPr>
          <w:p>
            <w:pPr>
              <w:spacing w:line="360" w:lineRule="exact"/>
              <w:rPr>
                <w:rFonts w:ascii="宋体" w:hAnsi="宋体" w:cs="宋体"/>
                <w:color w:val="000000"/>
                <w:sz w:val="22"/>
                <w:szCs w:val="22"/>
                <w:lang w:bidi="ar"/>
              </w:rPr>
            </w:pPr>
            <w:r>
              <w:rPr>
                <w:rFonts w:hint="eastAsia" w:ascii="宋体" w:hAnsi="宋体" w:cs="宋体"/>
                <w:color w:val="000000"/>
                <w:sz w:val="22"/>
                <w:szCs w:val="22"/>
                <w:lang w:bidi="ar"/>
              </w:rPr>
              <w:t>每发现一家内部控制</w:t>
            </w:r>
            <w:r>
              <w:rPr>
                <w:rFonts w:hint="eastAsia" w:ascii="宋体" w:hAnsi="宋体" w:cs="宋体"/>
                <w:sz w:val="22"/>
                <w:szCs w:val="22"/>
              </w:rPr>
              <w:t>评价样本选取不充足，存在有意规避问题样本的，</w:t>
            </w:r>
            <w:r>
              <w:rPr>
                <w:rFonts w:hint="eastAsia" w:ascii="宋体" w:hAnsi="宋体" w:cs="宋体"/>
                <w:color w:val="000000"/>
                <w:sz w:val="22"/>
                <w:szCs w:val="22"/>
                <w:lang w:bidi="ar"/>
              </w:rPr>
              <w:t>视情况</w:t>
            </w:r>
            <w:r>
              <w:rPr>
                <w:rFonts w:hint="eastAsia" w:ascii="宋体" w:hAnsi="宋体" w:cs="宋体"/>
                <w:sz w:val="22"/>
                <w:szCs w:val="22"/>
              </w:rPr>
              <w:t>扣1-3分</w:t>
            </w:r>
            <w:r>
              <w:rPr>
                <w:rFonts w:hint="eastAsia" w:ascii="宋体" w:hAnsi="宋体" w:cs="宋体"/>
                <w:color w:val="000000"/>
                <w:sz w:val="22"/>
                <w:szCs w:val="22"/>
                <w:lang w:bidi="ar"/>
              </w:rPr>
              <w:t>，扣完为止</w:t>
            </w:r>
            <w:r>
              <w:rPr>
                <w:rFonts w:hint="eastAsia" w:ascii="宋体" w:hAnsi="宋体" w:cs="宋体"/>
                <w:sz w:val="22"/>
                <w:szCs w:val="22"/>
              </w:rPr>
              <w:t>。</w:t>
            </w: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vMerge w:val="continue"/>
            <w:noWrap w:val="0"/>
            <w:vAlign w:val="center"/>
          </w:tcPr>
          <w:p>
            <w:pPr>
              <w:jc w:val="center"/>
              <w:textAlignment w:val="center"/>
              <w:rPr>
                <w:rFonts w:hint="eastAsia" w:ascii="宋体" w:hAnsi="宋体" w:cs="宋体"/>
                <w:color w:val="000000"/>
                <w:sz w:val="22"/>
                <w:szCs w:val="22"/>
                <w:lang w:bidi="ar"/>
              </w:rPr>
            </w:pPr>
          </w:p>
        </w:tc>
        <w:tc>
          <w:tcPr>
            <w:tcW w:w="1835" w:type="dxa"/>
            <w:gridSpan w:val="2"/>
            <w:noWrap w:val="0"/>
            <w:vAlign w:val="center"/>
          </w:tcPr>
          <w:p>
            <w:pPr>
              <w:spacing w:line="360" w:lineRule="exact"/>
              <w:textAlignment w:val="center"/>
              <w:rPr>
                <w:rFonts w:ascii="宋体" w:hAnsi="宋体" w:cs="宋体"/>
                <w:color w:val="000000"/>
                <w:sz w:val="22"/>
                <w:szCs w:val="22"/>
                <w:lang w:bidi="ar"/>
              </w:rPr>
            </w:pPr>
            <w:r>
              <w:rPr>
                <w:rFonts w:hint="eastAsia" w:ascii="宋体" w:hAnsi="宋体" w:cs="宋体"/>
                <w:color w:val="000000"/>
                <w:sz w:val="22"/>
                <w:szCs w:val="22"/>
                <w:lang w:bidi="ar"/>
              </w:rPr>
              <w:t>内部控制评价结果形成情况</w:t>
            </w:r>
          </w:p>
        </w:tc>
        <w:tc>
          <w:tcPr>
            <w:tcW w:w="4304" w:type="dxa"/>
            <w:noWrap w:val="0"/>
            <w:vAlign w:val="center"/>
          </w:tcPr>
          <w:p>
            <w:pPr>
              <w:spacing w:line="360" w:lineRule="exact"/>
              <w:jc w:val="both"/>
              <w:textAlignment w:val="center"/>
              <w:rPr>
                <w:rFonts w:hint="eastAsia" w:ascii="宋体" w:hAnsi="宋体" w:cs="宋体"/>
                <w:color w:val="000000"/>
                <w:sz w:val="22"/>
                <w:szCs w:val="22"/>
                <w:lang w:bidi="ar"/>
              </w:rPr>
            </w:pPr>
            <w:r>
              <w:rPr>
                <w:rFonts w:hint="eastAsia" w:ascii="宋体" w:hAnsi="宋体" w:cs="宋体"/>
                <w:color w:val="000000"/>
                <w:sz w:val="22"/>
                <w:szCs w:val="22"/>
                <w:lang w:bidi="ar"/>
              </w:rPr>
              <w:t>部门本级及所属单位内部控制评价结果是否经过单位负责人审批。</w:t>
            </w:r>
          </w:p>
        </w:tc>
        <w:tc>
          <w:tcPr>
            <w:tcW w:w="796" w:type="dxa"/>
            <w:noWrap w:val="0"/>
            <w:vAlign w:val="center"/>
          </w:tcPr>
          <w:p>
            <w:pPr>
              <w:spacing w:line="360" w:lineRule="exact"/>
              <w:jc w:val="center"/>
              <w:rPr>
                <w:rFonts w:ascii="宋体" w:hAnsi="宋体" w:cs="宋体"/>
                <w:color w:val="000000"/>
                <w:sz w:val="22"/>
                <w:szCs w:val="22"/>
              </w:rPr>
            </w:pPr>
            <w:r>
              <w:rPr>
                <w:rFonts w:hint="eastAsia" w:ascii="宋体" w:hAnsi="宋体" w:cs="宋体"/>
                <w:color w:val="000000"/>
                <w:sz w:val="22"/>
                <w:szCs w:val="22"/>
              </w:rPr>
              <w:t>6</w:t>
            </w:r>
          </w:p>
        </w:tc>
        <w:tc>
          <w:tcPr>
            <w:tcW w:w="5478" w:type="dxa"/>
            <w:noWrap w:val="0"/>
            <w:vAlign w:val="center"/>
          </w:tcPr>
          <w:p>
            <w:pPr>
              <w:spacing w:line="360" w:lineRule="exact"/>
              <w:rPr>
                <w:rFonts w:ascii="宋体" w:hAnsi="宋体" w:cs="宋体"/>
                <w:color w:val="000000"/>
                <w:sz w:val="22"/>
                <w:szCs w:val="22"/>
                <w:lang w:bidi="ar"/>
              </w:rPr>
            </w:pPr>
            <w:r>
              <w:rPr>
                <w:rFonts w:hint="eastAsia" w:ascii="宋体" w:hAnsi="宋体" w:cs="宋体"/>
                <w:color w:val="000000"/>
                <w:sz w:val="22"/>
                <w:szCs w:val="22"/>
                <w:lang w:bidi="ar"/>
              </w:rPr>
              <w:t>每发现一家内部控制评价结果未经单位负责人审批的，扣1-3分，扣完为止。</w:t>
            </w:r>
          </w:p>
        </w:tc>
        <w:tc>
          <w:tcPr>
            <w:tcW w:w="660"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trPr>
        <w:tc>
          <w:tcPr>
            <w:tcW w:w="950" w:type="dxa"/>
            <w:vMerge w:val="continue"/>
            <w:noWrap w:val="0"/>
            <w:vAlign w:val="center"/>
          </w:tcPr>
          <w:p>
            <w:pPr>
              <w:jc w:val="center"/>
              <w:rPr>
                <w:rFonts w:hint="eastAsia" w:ascii="宋体" w:hAnsi="宋体" w:cs="宋体"/>
                <w:color w:val="000000"/>
                <w:sz w:val="22"/>
                <w:szCs w:val="22"/>
              </w:rPr>
            </w:pPr>
          </w:p>
        </w:tc>
        <w:tc>
          <w:tcPr>
            <w:tcW w:w="1304" w:type="dxa"/>
            <w:noWrap w:val="0"/>
            <w:vAlign w:val="center"/>
          </w:tcPr>
          <w:p>
            <w:pPr>
              <w:spacing w:line="360" w:lineRule="exact"/>
              <w:jc w:val="center"/>
              <w:textAlignment w:val="center"/>
              <w:rPr>
                <w:rFonts w:ascii="宋体" w:hAnsi="宋体" w:cs="宋体"/>
                <w:color w:val="000000"/>
                <w:sz w:val="22"/>
                <w:szCs w:val="22"/>
                <w:lang w:bidi="ar"/>
              </w:rPr>
            </w:pPr>
            <w:r>
              <w:rPr>
                <w:rFonts w:hint="eastAsia" w:ascii="宋体" w:hAnsi="宋体" w:cs="宋体"/>
                <w:color w:val="000000"/>
                <w:sz w:val="22"/>
                <w:szCs w:val="22"/>
                <w:lang w:bidi="ar"/>
              </w:rPr>
              <w:t>内部控制评价结果应用</w:t>
            </w:r>
          </w:p>
        </w:tc>
        <w:tc>
          <w:tcPr>
            <w:tcW w:w="1835" w:type="dxa"/>
            <w:gridSpan w:val="2"/>
            <w:noWrap w:val="0"/>
            <w:vAlign w:val="center"/>
          </w:tcPr>
          <w:p>
            <w:pPr>
              <w:spacing w:line="360" w:lineRule="exact"/>
              <w:textAlignment w:val="center"/>
              <w:rPr>
                <w:rFonts w:ascii="宋体" w:hAnsi="宋体" w:cs="宋体"/>
                <w:color w:val="000000"/>
                <w:sz w:val="22"/>
                <w:szCs w:val="22"/>
                <w:lang w:bidi="ar"/>
              </w:rPr>
            </w:pPr>
            <w:r>
              <w:rPr>
                <w:rFonts w:hint="eastAsia" w:ascii="宋体" w:hAnsi="宋体" w:cs="宋体"/>
                <w:color w:val="000000"/>
                <w:sz w:val="22"/>
                <w:szCs w:val="22"/>
                <w:lang w:bidi="ar"/>
              </w:rPr>
              <w:t>内部控制评价结果应用情况</w:t>
            </w:r>
          </w:p>
        </w:tc>
        <w:tc>
          <w:tcPr>
            <w:tcW w:w="4304" w:type="dxa"/>
            <w:noWrap w:val="0"/>
            <w:vAlign w:val="center"/>
          </w:tcPr>
          <w:p>
            <w:pPr>
              <w:spacing w:line="360" w:lineRule="exact"/>
              <w:jc w:val="both"/>
              <w:textAlignment w:val="center"/>
              <w:rPr>
                <w:rFonts w:ascii="宋体" w:hAnsi="宋体" w:cs="宋体"/>
                <w:color w:val="000000"/>
                <w:sz w:val="22"/>
                <w:szCs w:val="22"/>
                <w:lang w:bidi="ar"/>
              </w:rPr>
            </w:pPr>
            <w:r>
              <w:rPr>
                <w:rFonts w:hint="eastAsia" w:ascii="宋体" w:hAnsi="宋体" w:cs="宋体"/>
                <w:color w:val="000000"/>
                <w:sz w:val="22"/>
                <w:szCs w:val="22"/>
                <w:lang w:bidi="ar"/>
              </w:rPr>
              <w:t>部门本级及所属单位是否将上一年度内部控制评价结果作为完善内部管理制度、预算安排、绩效管理、财会监督等工作的依据。</w:t>
            </w:r>
          </w:p>
        </w:tc>
        <w:tc>
          <w:tcPr>
            <w:tcW w:w="796" w:type="dxa"/>
            <w:noWrap w:val="0"/>
            <w:vAlign w:val="center"/>
          </w:tcPr>
          <w:p>
            <w:pPr>
              <w:spacing w:line="360" w:lineRule="exact"/>
              <w:jc w:val="center"/>
              <w:rPr>
                <w:rFonts w:ascii="宋体" w:hAnsi="宋体" w:cs="宋体"/>
                <w:color w:val="000000"/>
                <w:sz w:val="22"/>
                <w:szCs w:val="22"/>
              </w:rPr>
            </w:pPr>
            <w:r>
              <w:rPr>
                <w:rFonts w:hint="eastAsia" w:ascii="宋体" w:hAnsi="宋体" w:cs="宋体"/>
                <w:color w:val="000000"/>
                <w:sz w:val="22"/>
                <w:szCs w:val="22"/>
              </w:rPr>
              <w:t>6</w:t>
            </w:r>
          </w:p>
        </w:tc>
        <w:tc>
          <w:tcPr>
            <w:tcW w:w="5478" w:type="dxa"/>
            <w:noWrap w:val="0"/>
            <w:vAlign w:val="center"/>
          </w:tcPr>
          <w:p>
            <w:pPr>
              <w:spacing w:line="360" w:lineRule="exact"/>
              <w:rPr>
                <w:rFonts w:hint="eastAsia" w:ascii="宋体" w:hAnsi="宋体" w:cs="宋体"/>
                <w:color w:val="000000"/>
                <w:sz w:val="22"/>
                <w:szCs w:val="22"/>
                <w:lang w:bidi="ar"/>
              </w:rPr>
            </w:pPr>
            <w:r>
              <w:rPr>
                <w:rFonts w:hint="eastAsia" w:ascii="宋体" w:hAnsi="宋体" w:cs="宋体"/>
                <w:color w:val="000000"/>
                <w:sz w:val="22"/>
                <w:szCs w:val="22"/>
                <w:lang w:bidi="ar"/>
              </w:rPr>
              <w:t>每发现一家内部控制评价结果未得到适当运用的，扣1-3分，扣完为止。</w:t>
            </w: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trPr>
        <w:tc>
          <w:tcPr>
            <w:tcW w:w="8393" w:type="dxa"/>
            <w:gridSpan w:val="5"/>
            <w:noWrap w:val="0"/>
            <w:vAlign w:val="center"/>
          </w:tcPr>
          <w:p>
            <w:pPr>
              <w:spacing w:line="360" w:lineRule="exact"/>
              <w:jc w:val="center"/>
              <w:textAlignment w:val="center"/>
              <w:rPr>
                <w:rFonts w:ascii="宋体" w:hAnsi="宋体" w:cs="宋体"/>
                <w:color w:val="000000"/>
                <w:sz w:val="22"/>
                <w:szCs w:val="22"/>
                <w:lang w:bidi="ar"/>
              </w:rPr>
            </w:pPr>
            <w:r>
              <w:rPr>
                <w:rFonts w:hint="eastAsia" w:ascii="宋体" w:hAnsi="宋体" w:cs="宋体"/>
                <w:color w:val="000000"/>
                <w:sz w:val="22"/>
                <w:szCs w:val="22"/>
                <w:lang w:bidi="ar"/>
              </w:rPr>
              <w:t>小计</w:t>
            </w:r>
          </w:p>
        </w:tc>
        <w:tc>
          <w:tcPr>
            <w:tcW w:w="796" w:type="dxa"/>
            <w:noWrap w:val="0"/>
            <w:vAlign w:val="center"/>
          </w:tcPr>
          <w:p>
            <w:pPr>
              <w:spacing w:line="360" w:lineRule="exact"/>
              <w:jc w:val="center"/>
              <w:rPr>
                <w:rFonts w:ascii="宋体" w:hAnsi="宋体" w:cs="宋体"/>
                <w:color w:val="000000"/>
                <w:sz w:val="22"/>
                <w:szCs w:val="22"/>
              </w:rPr>
            </w:pPr>
            <w:r>
              <w:rPr>
                <w:rFonts w:hint="eastAsia" w:ascii="宋体" w:hAnsi="宋体" w:cs="宋体"/>
                <w:color w:val="000000"/>
                <w:sz w:val="22"/>
                <w:szCs w:val="22"/>
              </w:rPr>
              <w:t>25</w:t>
            </w:r>
          </w:p>
        </w:tc>
        <w:tc>
          <w:tcPr>
            <w:tcW w:w="5478" w:type="dxa"/>
            <w:noWrap w:val="0"/>
            <w:vAlign w:val="center"/>
          </w:tcPr>
          <w:p>
            <w:pPr>
              <w:spacing w:line="360" w:lineRule="exact"/>
              <w:rPr>
                <w:rFonts w:hint="eastAsia" w:ascii="宋体" w:hAnsi="宋体" w:cs="宋体"/>
                <w:color w:val="000000"/>
                <w:sz w:val="22"/>
                <w:szCs w:val="22"/>
                <w:lang w:bidi="ar"/>
              </w:rPr>
            </w:pP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trPr>
        <w:tc>
          <w:tcPr>
            <w:tcW w:w="950" w:type="dxa"/>
            <w:noWrap w:val="0"/>
            <w:vAlign w:val="center"/>
          </w:tcPr>
          <w:p>
            <w:pPr>
              <w:widowControl w:val="0"/>
              <w:overflowPunct w:val="0"/>
              <w:spacing w:line="360" w:lineRule="exact"/>
              <w:jc w:val="both"/>
              <w:rPr>
                <w:rFonts w:hint="eastAsia" w:ascii="宋体" w:hAnsi="宋体" w:cs="宋体"/>
                <w:sz w:val="22"/>
                <w:szCs w:val="22"/>
              </w:rPr>
            </w:pPr>
            <w:r>
              <w:rPr>
                <w:rFonts w:hint="eastAsia" w:ascii="宋体" w:hAnsi="宋体" w:cs="宋体"/>
                <w:color w:val="000000"/>
                <w:sz w:val="22"/>
                <w:szCs w:val="22"/>
                <w:lang w:bidi="ar"/>
              </w:rPr>
              <w:t>五、补充指标</w:t>
            </w:r>
          </w:p>
        </w:tc>
        <w:tc>
          <w:tcPr>
            <w:tcW w:w="1304" w:type="dxa"/>
            <w:noWrap w:val="0"/>
            <w:vAlign w:val="center"/>
          </w:tcPr>
          <w:p>
            <w:pPr>
              <w:spacing w:line="360" w:lineRule="exact"/>
              <w:jc w:val="both"/>
              <w:rPr>
                <w:rFonts w:hint="eastAsia" w:ascii="宋体" w:hAnsi="宋体" w:cs="宋体"/>
                <w:sz w:val="22"/>
                <w:szCs w:val="22"/>
              </w:rPr>
            </w:pPr>
            <w:r>
              <w:rPr>
                <w:rFonts w:hint="eastAsia" w:ascii="宋体" w:hAnsi="宋体" w:cs="宋体"/>
                <w:sz w:val="22"/>
                <w:szCs w:val="22"/>
              </w:rPr>
              <w:t>补充指标</w:t>
            </w:r>
          </w:p>
        </w:tc>
        <w:tc>
          <w:tcPr>
            <w:tcW w:w="1835" w:type="dxa"/>
            <w:gridSpan w:val="2"/>
            <w:noWrap w:val="0"/>
            <w:vAlign w:val="center"/>
          </w:tcPr>
          <w:p>
            <w:pPr>
              <w:spacing w:line="360" w:lineRule="exact"/>
              <w:jc w:val="both"/>
              <w:rPr>
                <w:rFonts w:hint="eastAsia" w:ascii="宋体" w:hAnsi="宋体" w:cs="宋体"/>
                <w:sz w:val="22"/>
                <w:szCs w:val="22"/>
              </w:rPr>
            </w:pPr>
            <w:r>
              <w:rPr>
                <w:rFonts w:hint="eastAsia" w:ascii="宋体" w:hAnsi="宋体" w:cs="宋体"/>
                <w:sz w:val="22"/>
                <w:szCs w:val="22"/>
              </w:rPr>
              <w:t>补充指标</w:t>
            </w:r>
          </w:p>
        </w:tc>
        <w:tc>
          <w:tcPr>
            <w:tcW w:w="4304" w:type="dxa"/>
            <w:noWrap w:val="0"/>
            <w:vAlign w:val="center"/>
          </w:tcPr>
          <w:p>
            <w:pPr>
              <w:pStyle w:val="9"/>
              <w:spacing w:beforeAutospacing="0" w:afterAutospacing="0" w:line="360" w:lineRule="exact"/>
              <w:rPr>
                <w:rFonts w:hint="eastAsia" w:ascii="宋体" w:hAnsi="宋体" w:cs="宋体"/>
                <w:color w:val="000000"/>
                <w:sz w:val="22"/>
                <w:szCs w:val="22"/>
              </w:rPr>
            </w:pPr>
            <w:r>
              <w:rPr>
                <w:rFonts w:hint="eastAsia" w:ascii="宋体" w:hAnsi="宋体" w:cs="宋体"/>
                <w:color w:val="000000"/>
                <w:sz w:val="22"/>
                <w:szCs w:val="22"/>
              </w:rPr>
              <w:t>由部门自行制定</w:t>
            </w:r>
          </w:p>
        </w:tc>
        <w:tc>
          <w:tcPr>
            <w:tcW w:w="796" w:type="dxa"/>
            <w:noWrap w:val="0"/>
            <w:vAlign w:val="center"/>
          </w:tcPr>
          <w:p>
            <w:pPr>
              <w:spacing w:line="360" w:lineRule="exact"/>
              <w:jc w:val="center"/>
              <w:rPr>
                <w:rFonts w:hint="eastAsia" w:ascii="宋体" w:hAnsi="宋体" w:cs="宋体"/>
                <w:color w:val="000000"/>
                <w:sz w:val="22"/>
                <w:szCs w:val="22"/>
              </w:rPr>
            </w:pPr>
            <w:r>
              <w:rPr>
                <w:rFonts w:hint="eastAsia" w:ascii="宋体" w:hAnsi="宋体" w:cs="宋体"/>
                <w:color w:val="000000"/>
                <w:sz w:val="22"/>
                <w:szCs w:val="22"/>
              </w:rPr>
              <w:t>30</w:t>
            </w:r>
          </w:p>
        </w:tc>
        <w:tc>
          <w:tcPr>
            <w:tcW w:w="5478" w:type="dxa"/>
            <w:noWrap w:val="0"/>
            <w:vAlign w:val="center"/>
          </w:tcPr>
          <w:p>
            <w:pPr>
              <w:spacing w:line="360" w:lineRule="exact"/>
              <w:jc w:val="both"/>
              <w:rPr>
                <w:rFonts w:hint="eastAsia" w:ascii="宋体" w:hAnsi="宋体" w:cs="宋体"/>
                <w:color w:val="000000"/>
                <w:sz w:val="22"/>
                <w:szCs w:val="22"/>
                <w:lang w:bidi="ar"/>
              </w:rPr>
            </w:pPr>
            <w:r>
              <w:rPr>
                <w:rFonts w:hint="eastAsia" w:ascii="宋体" w:hAnsi="宋体" w:cs="宋体"/>
                <w:sz w:val="22"/>
                <w:szCs w:val="22"/>
              </w:rPr>
              <w:t>部门根据履职范围和行业特点，自行制定的评价指标。。</w:t>
            </w:r>
          </w:p>
        </w:tc>
        <w:tc>
          <w:tcPr>
            <w:tcW w:w="660" w:type="dxa"/>
            <w:noWrap w:val="0"/>
            <w:vAlign w:val="center"/>
          </w:tcPr>
          <w:p>
            <w:pPr>
              <w:spacing w:line="360" w:lineRule="exact"/>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trPr>
        <w:tc>
          <w:tcPr>
            <w:tcW w:w="2254" w:type="dxa"/>
            <w:gridSpan w:val="2"/>
            <w:noWrap w:val="0"/>
            <w:vAlign w:val="center"/>
          </w:tcPr>
          <w:p>
            <w:pPr>
              <w:spacing w:line="360" w:lineRule="exact"/>
              <w:jc w:val="center"/>
              <w:rPr>
                <w:rFonts w:hint="eastAsia" w:ascii="宋体" w:hAnsi="宋体" w:cs="宋体"/>
                <w:sz w:val="22"/>
                <w:szCs w:val="22"/>
              </w:rPr>
            </w:pPr>
            <w:r>
              <w:rPr>
                <w:rFonts w:hint="eastAsia" w:ascii="宋体" w:hAnsi="宋体" w:cs="宋体"/>
                <w:color w:val="000000"/>
                <w:sz w:val="22"/>
                <w:szCs w:val="22"/>
                <w:lang w:bidi="ar"/>
              </w:rPr>
              <w:t>其他情况</w:t>
            </w:r>
          </w:p>
        </w:tc>
        <w:tc>
          <w:tcPr>
            <w:tcW w:w="12413" w:type="dxa"/>
            <w:gridSpan w:val="5"/>
            <w:noWrap w:val="0"/>
            <w:vAlign w:val="center"/>
          </w:tcPr>
          <w:p>
            <w:pPr>
              <w:spacing w:line="360" w:lineRule="exact"/>
              <w:rPr>
                <w:rFonts w:hint="eastAsia" w:ascii="宋体" w:hAnsi="宋体" w:cs="宋体"/>
                <w:color w:val="000000"/>
                <w:sz w:val="22"/>
                <w:szCs w:val="22"/>
                <w:lang w:bidi="ar"/>
              </w:rPr>
            </w:pPr>
            <w:r>
              <w:rPr>
                <w:rFonts w:hint="eastAsia" w:ascii="宋体" w:hAnsi="宋体" w:cs="宋体"/>
                <w:color w:val="000000"/>
                <w:sz w:val="22"/>
                <w:szCs w:val="22"/>
                <w:lang w:bidi="ar"/>
              </w:rPr>
              <w:t>收到各级政府财政部门、上级主管部门或其他部门内部控制相关表彰的，酌情加1-5分；收到批评的，酌情扣1-5分。</w:t>
            </w:r>
          </w:p>
          <w:p>
            <w:pPr>
              <w:spacing w:line="360" w:lineRule="exact"/>
              <w:rPr>
                <w:rFonts w:hint="eastAsia" w:ascii="宋体" w:hAnsi="宋体" w:cs="宋体"/>
                <w:color w:val="000000"/>
                <w:sz w:val="22"/>
                <w:szCs w:val="22"/>
              </w:rPr>
            </w:pPr>
            <w:r>
              <w:rPr>
                <w:rFonts w:hint="eastAsia" w:ascii="宋体" w:hAnsi="宋体" w:cs="宋体"/>
                <w:color w:val="000000"/>
                <w:sz w:val="22"/>
                <w:szCs w:val="22"/>
                <w:lang w:bidi="ar"/>
              </w:rPr>
              <w:t>最终得分不得超过100分</w:t>
            </w:r>
          </w:p>
        </w:tc>
        <w:tc>
          <w:tcPr>
            <w:tcW w:w="660" w:type="dxa"/>
            <w:noWrap w:val="0"/>
            <w:vAlign w:val="center"/>
          </w:tcPr>
          <w:p>
            <w:pPr>
              <w:spacing w:line="360" w:lineRule="exact"/>
              <w:rPr>
                <w:rFonts w:hint="eastAsia" w:ascii="宋体" w:hAnsi="宋体" w:cs="宋体"/>
                <w:color w:val="000000"/>
                <w:sz w:val="22"/>
                <w:szCs w:val="22"/>
                <w:lang w:bidi="ar"/>
              </w:rPr>
            </w:pPr>
          </w:p>
        </w:tc>
      </w:tr>
    </w:tbl>
    <w:p>
      <w:pPr>
        <w:widowControl w:val="0"/>
        <w:overflowPunct w:val="0"/>
        <w:spacing w:line="360" w:lineRule="auto"/>
        <w:rPr>
          <w:rFonts w:hint="eastAsia" w:ascii="仿宋_GB2312" w:hAnsi="仿宋_GB2312" w:eastAsia="仿宋_GB2312" w:cs="仿宋_GB2312"/>
        </w:rPr>
      </w:pPr>
      <w:r>
        <w:rPr>
          <w:rFonts w:hint="eastAsia" w:ascii="仿宋_GB2312" w:hAnsi="仿宋_GB2312" w:eastAsia="仿宋_GB2312" w:cs="仿宋_GB2312"/>
        </w:rPr>
        <w:t xml:space="preserve">   注：</w:t>
      </w:r>
    </w:p>
    <w:p>
      <w:pPr>
        <w:widowControl w:val="0"/>
        <w:overflowPunct w:val="0"/>
        <w:spacing w:line="360" w:lineRule="auto"/>
        <w:ind w:firstLine="480" w:firstLineChars="200"/>
        <w:rPr>
          <w:rFonts w:hint="eastAsia" w:ascii="方正小标宋简体" w:hAnsi="方正小标宋简体" w:eastAsia="方正小标宋简体" w:cs="方正小标宋简体"/>
          <w:sz w:val="36"/>
          <w:szCs w:val="36"/>
        </w:rPr>
      </w:pPr>
      <w:r>
        <w:rPr>
          <w:rFonts w:hint="eastAsia" w:ascii="仿宋_GB2312" w:hAnsi="仿宋_GB2312" w:eastAsia="仿宋_GB2312" w:cs="仿宋_GB2312"/>
        </w:rPr>
        <w:t>若因单位不涉及某类业务，导致某项指标不适用的，该项指标不得分。整体得分换算公式如下：得分=指标得分/（100-不适用指标分值）*100分）。</w:t>
      </w:r>
    </w:p>
    <w:p>
      <w:pPr>
        <w:widowControl w:val="0"/>
        <w:wordWrap w:val="0"/>
        <w:autoSpaceDE w:val="0"/>
        <w:autoSpaceDN w:val="0"/>
        <w:spacing w:line="560" w:lineRule="exact"/>
        <w:ind w:firstLine="640"/>
        <w:jc w:val="center"/>
        <w:textAlignment w:val="baseline"/>
      </w:pPr>
    </w:p>
    <w:p>
      <w:pPr>
        <w:sectPr>
          <w:footerReference r:id="rId5" w:type="default"/>
          <w:pgSz w:w="16838" w:h="11906" w:orient="landscape"/>
          <w:pgMar w:top="1800" w:right="1440" w:bottom="1800" w:left="1440" w:header="851" w:footer="992" w:gutter="0"/>
          <w:cols w:space="720" w:num="1"/>
          <w:docGrid w:type="lines" w:linePitch="312" w:charSpace="0"/>
        </w:sectPr>
      </w:pPr>
    </w:p>
    <w:p>
      <w:pPr>
        <w:widowControl w:val="0"/>
        <w:tabs>
          <w:tab w:val="left" w:pos="1767"/>
        </w:tabs>
        <w:overflowPunct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附5</w:t>
      </w:r>
    </w:p>
    <w:p>
      <w:pPr>
        <w:widowControl w:val="0"/>
        <w:autoSpaceDE w:val="0"/>
        <w:autoSpaceDN w:val="0"/>
        <w:spacing w:before="156" w:beforeLines="50" w:after="156" w:afterLines="50" w:line="560" w:lineRule="exact"/>
        <w:ind w:firstLine="720"/>
        <w:jc w:val="center"/>
        <w:textAlignment w:val="baseline"/>
        <w:rPr>
          <w:rFonts w:ascii="华文中宋" w:hAnsi="华文中宋" w:eastAsia="华文中宋"/>
          <w:color w:val="000000"/>
          <w:sz w:val="36"/>
          <w:szCs w:val="36"/>
          <w:u w:val="single"/>
        </w:rPr>
      </w:pPr>
    </w:p>
    <w:p>
      <w:pPr>
        <w:widowControl w:val="0"/>
        <w:autoSpaceDE w:val="0"/>
        <w:autoSpaceDN w:val="0"/>
        <w:spacing w:before="156" w:beforeLines="50" w:after="156" w:afterLines="50" w:line="560" w:lineRule="exact"/>
        <w:ind w:firstLine="720"/>
        <w:jc w:val="center"/>
        <w:textAlignment w:val="baseline"/>
        <w:rPr>
          <w:rFonts w:ascii="华文中宋" w:hAnsi="华文中宋" w:eastAsia="华文中宋"/>
          <w:color w:val="000000"/>
          <w:sz w:val="36"/>
          <w:szCs w:val="36"/>
          <w:u w:val="single"/>
        </w:rPr>
      </w:pPr>
    </w:p>
    <w:p>
      <w:pPr>
        <w:widowControl w:val="0"/>
        <w:autoSpaceDE w:val="0"/>
        <w:autoSpaceDN w:val="0"/>
        <w:spacing w:before="156" w:beforeLines="50" w:after="156" w:afterLines="50" w:line="560" w:lineRule="exact"/>
        <w:ind w:firstLine="720"/>
        <w:jc w:val="center"/>
        <w:textAlignment w:val="baseline"/>
        <w:rPr>
          <w:rFonts w:ascii="华文中宋" w:hAnsi="华文中宋" w:eastAsia="华文中宋"/>
          <w:color w:val="000000"/>
          <w:sz w:val="36"/>
          <w:szCs w:val="36"/>
          <w:u w:val="single"/>
        </w:rPr>
      </w:pPr>
    </w:p>
    <w:p>
      <w:pPr>
        <w:widowControl w:val="0"/>
        <w:autoSpaceDE w:val="0"/>
        <w:autoSpaceDN w:val="0"/>
        <w:spacing w:before="156" w:beforeLines="50" w:after="156" w:afterLines="50" w:line="560" w:lineRule="exact"/>
        <w:jc w:val="center"/>
        <w:textAlignment w:val="baseline"/>
        <w:rPr>
          <w:rFonts w:ascii="华文中宋" w:hAnsi="华文中宋" w:eastAsia="华文中宋"/>
          <w:color w:val="000000"/>
          <w:sz w:val="36"/>
          <w:szCs w:val="36"/>
          <w:u w:val="single"/>
        </w:rPr>
      </w:pPr>
    </w:p>
    <w:p>
      <w:pPr>
        <w:widowControl w:val="0"/>
        <w:autoSpaceDE w:val="0"/>
        <w:autoSpaceDN w:val="0"/>
        <w:spacing w:before="156" w:beforeLines="50" w:after="156" w:afterLines="50" w:line="560" w:lineRule="exact"/>
        <w:jc w:val="center"/>
        <w:textAlignment w:val="baseline"/>
        <w:rPr>
          <w:rFonts w:ascii="华文中宋" w:hAnsi="华文中宋" w:eastAsia="华文中宋"/>
          <w:color w:val="000000"/>
          <w:sz w:val="36"/>
          <w:szCs w:val="36"/>
          <w:u w:val="single"/>
        </w:rPr>
      </w:pPr>
      <w:r>
        <w:rPr>
          <w:rFonts w:hint="eastAsia" w:ascii="华文中宋" w:hAnsi="华文中宋" w:eastAsia="华文中宋"/>
          <w:color w:val="000000"/>
          <w:sz w:val="36"/>
          <w:szCs w:val="36"/>
          <w:u w:val="single"/>
        </w:rPr>
        <w:t>（部门名称）</w:t>
      </w:r>
    </w:p>
    <w:p>
      <w:pPr>
        <w:widowControl w:val="0"/>
        <w:autoSpaceDE w:val="0"/>
        <w:autoSpaceDN w:val="0"/>
        <w:spacing w:before="156" w:beforeLines="50" w:after="156" w:afterLines="50" w:line="560" w:lineRule="exact"/>
        <w:jc w:val="center"/>
        <w:textAlignment w:val="baseline"/>
        <w:rPr>
          <w:rFonts w:ascii="华文中宋" w:hAnsi="华文中宋" w:eastAsia="华文中宋"/>
          <w:color w:val="000000"/>
          <w:sz w:val="36"/>
        </w:rPr>
      </w:pPr>
      <w:r>
        <w:rPr>
          <w:rFonts w:hint="eastAsia" w:ascii="华文中宋" w:hAnsi="华文中宋" w:eastAsia="华文中宋"/>
          <w:color w:val="000000"/>
          <w:sz w:val="36"/>
          <w:szCs w:val="36"/>
          <w:u w:val="single"/>
        </w:rPr>
        <w:t>（评价年度）</w:t>
      </w:r>
      <w:r>
        <w:rPr>
          <w:rFonts w:ascii="华文中宋" w:hAnsi="华文中宋" w:eastAsia="华文中宋"/>
          <w:color w:val="000000"/>
          <w:sz w:val="36"/>
        </w:rPr>
        <w:t>内部控制评价报告</w:t>
      </w:r>
    </w:p>
    <w:p>
      <w:pPr>
        <w:widowControl w:val="0"/>
        <w:autoSpaceDE w:val="0"/>
        <w:autoSpaceDN w:val="0"/>
        <w:spacing w:before="156" w:beforeLines="50" w:after="156" w:afterLines="50" w:line="560" w:lineRule="exact"/>
        <w:jc w:val="center"/>
        <w:textAlignment w:val="baseline"/>
        <w:rPr>
          <w:rFonts w:ascii="仿宋_GB2312" w:hAnsi="仿宋_GB2312" w:eastAsia="仿宋_GB2312" w:cs="仿宋_GB2312"/>
          <w:color w:val="000000"/>
          <w:sz w:val="32"/>
          <w:szCs w:val="22"/>
        </w:rPr>
      </w:pPr>
      <w:r>
        <w:rPr>
          <w:rFonts w:hint="eastAsia" w:ascii="仿宋_GB2312" w:hAnsi="仿宋_GB2312" w:eastAsia="仿宋_GB2312" w:cs="仿宋_GB2312"/>
          <w:color w:val="000000"/>
          <w:sz w:val="32"/>
          <w:szCs w:val="22"/>
        </w:rPr>
        <w:t>（参考格式）</w:t>
      </w:r>
    </w:p>
    <w:p>
      <w:pPr>
        <w:widowControl w:val="0"/>
        <w:autoSpaceDE w:val="0"/>
        <w:autoSpaceDN w:val="0"/>
        <w:spacing w:line="360" w:lineRule="auto"/>
        <w:textAlignment w:val="baseline"/>
        <w:rPr>
          <w:rFonts w:ascii="仿宋_GB2312" w:hAnsi="仿宋_GB2312" w:eastAsia="仿宋_GB2312"/>
          <w:color w:val="000000"/>
          <w:sz w:val="28"/>
          <w:szCs w:val="28"/>
        </w:rPr>
      </w:pPr>
    </w:p>
    <w:p>
      <w:pPr>
        <w:autoSpaceDE w:val="0"/>
        <w:autoSpaceDN w:val="0"/>
        <w:spacing w:before="6240" w:beforeLines="2000" w:line="360" w:lineRule="auto"/>
        <w:jc w:val="center"/>
        <w:textAlignment w:val="baseline"/>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报告日期：    年  月  日</w:t>
      </w:r>
    </w:p>
    <w:p>
      <w:pPr>
        <w:rPr>
          <w:rFonts w:hint="eastAsia" w:ascii="仿宋_GB2312" w:hAnsi="仿宋_GB2312" w:eastAsia="仿宋_GB2312" w:cs="仿宋_GB2312"/>
          <w:sz w:val="32"/>
          <w:szCs w:val="32"/>
        </w:rPr>
      </w:pPr>
    </w:p>
    <w:p>
      <w:pPr>
        <w:spacing w:line="588"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一、部门内部控制评价基本情况</w:t>
      </w:r>
    </w:p>
    <w:p>
      <w:pPr>
        <w:spacing w:line="588"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（一）评价工作安排情况</w:t>
      </w:r>
    </w:p>
    <w:p>
      <w:pPr>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简要说明本年度部门内部控制评价工作安排情况，包括评价实施部门、评价人员安排、评价进度安排等。</w:t>
      </w:r>
    </w:p>
    <w:p>
      <w:pPr>
        <w:spacing w:line="588"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（二）评价工作实施情况</w:t>
      </w:r>
    </w:p>
    <w:p>
      <w:pPr>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简要说明本年度部门内部控制评价工作实施情况，包括评价程序和方法、评价范围、评价内容等。</w:t>
      </w:r>
    </w:p>
    <w:p>
      <w:pPr>
        <w:spacing w:line="588"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二、评价得分情况</w:t>
      </w:r>
    </w:p>
    <w:p>
      <w:pPr>
        <w:widowControl w:val="0"/>
        <w:autoSpaceDE w:val="0"/>
        <w:autoSpaceDN w:val="0"/>
        <w:spacing w:line="588" w:lineRule="exact"/>
        <w:ind w:firstLine="640" w:firstLineChars="200"/>
        <w:jc w:val="both"/>
        <w:textAlignment w:val="baseline"/>
        <w:rPr>
          <w:rFonts w:hint="eastAsia" w:ascii="仿宋_GB2312" w:hAnsi="黑体" w:eastAsia="仿宋_GB2312"/>
          <w:color w:val="000000"/>
          <w:sz w:val="32"/>
          <w:szCs w:val="32"/>
        </w:rPr>
      </w:pPr>
      <w:r>
        <w:rPr>
          <w:rFonts w:hint="eastAsia" w:ascii="仿宋_GB2312" w:hAnsi="黑体" w:eastAsia="仿宋_GB2312"/>
          <w:color w:val="000000"/>
          <w:sz w:val="32"/>
          <w:szCs w:val="32"/>
        </w:rPr>
        <w:t>根据《行政事业单位内部控制评价办法》有关规定，内部控制评价得分为</w:t>
      </w:r>
      <w:r>
        <w:rPr>
          <w:rFonts w:hint="eastAsia" w:ascii="仿宋_GB2312" w:hAnsi="黑体" w:eastAsia="仿宋_GB2312"/>
          <w:color w:val="000000"/>
          <w:sz w:val="32"/>
          <w:szCs w:val="32"/>
          <w:u w:val="single"/>
        </w:rPr>
        <w:t xml:space="preserve">   </w:t>
      </w:r>
      <w:r>
        <w:rPr>
          <w:rFonts w:hint="eastAsia" w:ascii="仿宋_GB2312" w:hAnsi="黑体" w:eastAsia="仿宋_GB2312"/>
          <w:color w:val="000000"/>
          <w:sz w:val="32"/>
          <w:szCs w:val="32"/>
        </w:rPr>
        <w:t>分。评价得分如下：</w:t>
      </w:r>
    </w:p>
    <w:p>
      <w:pPr>
        <w:pStyle w:val="2"/>
        <w:ind w:firstLine="0" w:firstLineChars="0"/>
      </w:pPr>
    </w:p>
    <w:tbl>
      <w:tblPr>
        <w:tblStyle w:val="10"/>
        <w:tblW w:w="5479" w:type="pct"/>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3"/>
        <w:gridCol w:w="4172"/>
        <w:gridCol w:w="1093"/>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trPr>
        <w:tc>
          <w:tcPr>
            <w:tcW w:w="1372" w:type="pct"/>
            <w:noWrap w:val="0"/>
            <w:vAlign w:val="center"/>
          </w:tcPr>
          <w:p>
            <w:pPr>
              <w:widowControl w:val="0"/>
              <w:overflowPunct w:val="0"/>
              <w:spacing w:line="5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一级指标</w:t>
            </w:r>
          </w:p>
        </w:tc>
        <w:tc>
          <w:tcPr>
            <w:tcW w:w="2233" w:type="pct"/>
            <w:noWrap w:val="0"/>
            <w:vAlign w:val="center"/>
          </w:tcPr>
          <w:p>
            <w:pPr>
              <w:widowControl w:val="0"/>
              <w:overflowPunct w:val="0"/>
              <w:spacing w:line="5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二级指标</w:t>
            </w:r>
          </w:p>
        </w:tc>
        <w:tc>
          <w:tcPr>
            <w:tcW w:w="585" w:type="pct"/>
            <w:noWrap w:val="0"/>
            <w:vAlign w:val="center"/>
          </w:tcPr>
          <w:p>
            <w:pPr>
              <w:widowControl w:val="0"/>
              <w:overflowPunct w:val="0"/>
              <w:spacing w:line="5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分值</w:t>
            </w:r>
          </w:p>
        </w:tc>
        <w:tc>
          <w:tcPr>
            <w:tcW w:w="808" w:type="pct"/>
            <w:noWrap w:val="0"/>
            <w:vAlign w:val="top"/>
          </w:tcPr>
          <w:p>
            <w:pPr>
              <w:widowControl w:val="0"/>
              <w:overflowPunct w:val="0"/>
              <w:spacing w:line="5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72" w:type="pct"/>
            <w:vMerge w:val="restart"/>
            <w:noWrap w:val="0"/>
            <w:vAlign w:val="center"/>
          </w:tcPr>
          <w:p>
            <w:pPr>
              <w:widowControl w:val="0"/>
              <w:overflowPunct w:val="0"/>
              <w:spacing w:line="50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一、单位层面内部控制</w:t>
            </w:r>
          </w:p>
        </w:tc>
        <w:tc>
          <w:tcPr>
            <w:tcW w:w="2233" w:type="pct"/>
            <w:noWrap w:val="0"/>
            <w:vAlign w:val="center"/>
          </w:tcPr>
          <w:p>
            <w:pPr>
              <w:pStyle w:val="9"/>
              <w:widowControl w:val="0"/>
              <w:spacing w:beforeAutospacing="0" w:afterAutospacing="0" w:line="500" w:lineRule="exact"/>
              <w:jc w:val="both"/>
              <w:rPr>
                <w:rFonts w:hint="eastAsia" w:ascii="仿宋_GB2312" w:hAnsi="仿宋_GB2312" w:eastAsia="仿宋_GB2312" w:cs="仿宋_GB2312"/>
                <w:color w:val="000000"/>
                <w:sz w:val="28"/>
                <w:szCs w:val="28"/>
              </w:rPr>
            </w:pPr>
            <w:r>
              <w:rPr>
                <w:rFonts w:hint="eastAsia" w:ascii="仿宋_GB2312" w:eastAsia="仿宋_GB2312"/>
                <w:sz w:val="28"/>
                <w:szCs w:val="28"/>
              </w:rPr>
              <w:t>1.议事决策机制</w:t>
            </w:r>
          </w:p>
        </w:tc>
        <w:tc>
          <w:tcPr>
            <w:tcW w:w="585" w:type="pct"/>
            <w:vMerge w:val="restart"/>
            <w:noWrap w:val="0"/>
            <w:vAlign w:val="center"/>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w:t>
            </w:r>
          </w:p>
        </w:tc>
        <w:tc>
          <w:tcPr>
            <w:tcW w:w="808" w:type="pct"/>
            <w:noWrap w:val="0"/>
            <w:vAlign w:val="top"/>
          </w:tcPr>
          <w:p>
            <w:pPr>
              <w:pStyle w:val="9"/>
              <w:widowControl w:val="0"/>
              <w:spacing w:beforeAutospacing="0" w:afterAutospacing="0" w:line="5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72" w:type="pct"/>
            <w:vMerge w:val="continue"/>
            <w:noWrap w:val="0"/>
            <w:vAlign w:val="center"/>
          </w:tcPr>
          <w:p>
            <w:pPr>
              <w:widowControl w:val="0"/>
              <w:overflowPunct w:val="0"/>
              <w:spacing w:line="500" w:lineRule="exact"/>
              <w:jc w:val="both"/>
              <w:rPr>
                <w:rFonts w:ascii="仿宋_GB2312" w:hAnsi="仿宋_GB2312" w:eastAsia="仿宋_GB2312" w:cs="仿宋_GB2312"/>
                <w:sz w:val="28"/>
                <w:szCs w:val="28"/>
              </w:rPr>
            </w:pPr>
          </w:p>
        </w:tc>
        <w:tc>
          <w:tcPr>
            <w:tcW w:w="2233" w:type="pct"/>
            <w:noWrap w:val="0"/>
            <w:vAlign w:val="center"/>
          </w:tcPr>
          <w:p>
            <w:pPr>
              <w:pStyle w:val="9"/>
              <w:spacing w:beforeAutospacing="0" w:afterAutospacing="0" w:line="500" w:lineRule="exact"/>
              <w:jc w:val="both"/>
              <w:rPr>
                <w:rFonts w:ascii="仿宋_GB2312" w:hAnsi="仿宋_GB2312" w:eastAsia="仿宋_GB2312" w:cs="仿宋_GB2312"/>
                <w:sz w:val="28"/>
                <w:szCs w:val="28"/>
              </w:rPr>
            </w:pPr>
            <w:r>
              <w:rPr>
                <w:rFonts w:hint="eastAsia" w:ascii="仿宋_GB2312" w:eastAsia="仿宋_GB2312"/>
                <w:sz w:val="28"/>
                <w:szCs w:val="28"/>
              </w:rPr>
              <w:t>2.权力制衡机制</w:t>
            </w:r>
          </w:p>
        </w:tc>
        <w:tc>
          <w:tcPr>
            <w:tcW w:w="585" w:type="pct"/>
            <w:vMerge w:val="continue"/>
            <w:noWrap w:val="0"/>
            <w:vAlign w:val="center"/>
          </w:tcPr>
          <w:p>
            <w:pPr>
              <w:pStyle w:val="9"/>
              <w:spacing w:beforeAutospacing="0" w:afterAutospacing="0" w:line="500" w:lineRule="exact"/>
              <w:jc w:val="center"/>
              <w:rPr>
                <w:rFonts w:ascii="仿宋_GB2312" w:hAnsi="仿宋_GB2312" w:eastAsia="仿宋_GB2312" w:cs="仿宋_GB2312"/>
                <w:color w:val="000000"/>
                <w:sz w:val="28"/>
                <w:szCs w:val="28"/>
              </w:rPr>
            </w:pPr>
          </w:p>
        </w:tc>
        <w:tc>
          <w:tcPr>
            <w:tcW w:w="808" w:type="pct"/>
            <w:noWrap w:val="0"/>
            <w:vAlign w:val="top"/>
          </w:tcPr>
          <w:p>
            <w:pPr>
              <w:pStyle w:val="9"/>
              <w:widowControl w:val="0"/>
              <w:spacing w:beforeAutospacing="0" w:afterAutospacing="0" w:line="5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72" w:type="pct"/>
            <w:vMerge w:val="continue"/>
            <w:noWrap w:val="0"/>
            <w:vAlign w:val="center"/>
          </w:tcPr>
          <w:p>
            <w:pPr>
              <w:widowControl w:val="0"/>
              <w:overflowPunct w:val="0"/>
              <w:spacing w:line="500" w:lineRule="exact"/>
              <w:jc w:val="both"/>
              <w:rPr>
                <w:rFonts w:hint="eastAsia" w:ascii="仿宋_GB2312" w:hAnsi="仿宋_GB2312" w:eastAsia="仿宋_GB2312" w:cs="仿宋_GB2312"/>
                <w:sz w:val="28"/>
                <w:szCs w:val="28"/>
              </w:rPr>
            </w:pPr>
          </w:p>
        </w:tc>
        <w:tc>
          <w:tcPr>
            <w:tcW w:w="2233" w:type="pct"/>
            <w:noWrap w:val="0"/>
            <w:vAlign w:val="center"/>
          </w:tcPr>
          <w:p>
            <w:pPr>
              <w:pStyle w:val="9"/>
              <w:widowControl w:val="0"/>
              <w:spacing w:beforeAutospacing="0" w:afterAutospacing="0" w:line="500" w:lineRule="exact"/>
              <w:jc w:val="both"/>
              <w:rPr>
                <w:rFonts w:hint="eastAsia" w:ascii="仿宋_GB2312" w:eastAsia="仿宋_GB2312"/>
                <w:sz w:val="28"/>
                <w:szCs w:val="28"/>
              </w:rPr>
            </w:pPr>
            <w:r>
              <w:rPr>
                <w:rFonts w:hint="eastAsia" w:ascii="仿宋_GB2312" w:eastAsia="仿宋_GB2312"/>
                <w:sz w:val="28"/>
                <w:szCs w:val="28"/>
              </w:rPr>
              <w:t>3.信息系统</w:t>
            </w:r>
          </w:p>
        </w:tc>
        <w:tc>
          <w:tcPr>
            <w:tcW w:w="585" w:type="pct"/>
            <w:vMerge w:val="continue"/>
            <w:noWrap w:val="0"/>
            <w:vAlign w:val="center"/>
          </w:tcPr>
          <w:p>
            <w:pPr>
              <w:pStyle w:val="9"/>
              <w:widowControl w:val="0"/>
              <w:spacing w:beforeAutospacing="0" w:afterAutospacing="0" w:line="500" w:lineRule="exact"/>
              <w:jc w:val="center"/>
              <w:rPr>
                <w:rFonts w:hint="eastAsia" w:ascii="仿宋_GB2312" w:hAnsi="仿宋_GB2312" w:eastAsia="仿宋_GB2312" w:cs="仿宋_GB2312"/>
                <w:color w:val="000000"/>
                <w:sz w:val="28"/>
                <w:szCs w:val="28"/>
              </w:rPr>
            </w:pPr>
          </w:p>
        </w:tc>
        <w:tc>
          <w:tcPr>
            <w:tcW w:w="808" w:type="pct"/>
            <w:noWrap w:val="0"/>
            <w:vAlign w:val="top"/>
          </w:tcPr>
          <w:p>
            <w:pPr>
              <w:pStyle w:val="9"/>
              <w:widowControl w:val="0"/>
              <w:spacing w:beforeAutospacing="0" w:afterAutospacing="0" w:line="5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72" w:type="pct"/>
            <w:vMerge w:val="restart"/>
            <w:noWrap w:val="0"/>
            <w:vAlign w:val="center"/>
          </w:tcPr>
          <w:p>
            <w:pPr>
              <w:widowControl w:val="0"/>
              <w:overflowPunct w:val="0"/>
              <w:spacing w:line="5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二、业务层面内部控制</w:t>
            </w:r>
          </w:p>
        </w:tc>
        <w:tc>
          <w:tcPr>
            <w:tcW w:w="2233" w:type="pct"/>
            <w:noWrap w:val="0"/>
            <w:vAlign w:val="center"/>
          </w:tcPr>
          <w:p>
            <w:pPr>
              <w:pStyle w:val="9"/>
              <w:spacing w:beforeAutospacing="0" w:afterAutospacing="0" w:line="500" w:lineRule="exact"/>
              <w:jc w:val="both"/>
              <w:rPr>
                <w:rFonts w:hint="eastAsia" w:ascii="仿宋_GB2312" w:hAnsi="仿宋_GB2312" w:eastAsia="仿宋_GB2312" w:cs="仿宋_GB2312"/>
                <w:sz w:val="28"/>
                <w:szCs w:val="28"/>
              </w:rPr>
            </w:pPr>
            <w:r>
              <w:rPr>
                <w:rFonts w:hint="eastAsia" w:ascii="仿宋_GB2312" w:eastAsia="仿宋_GB2312"/>
                <w:sz w:val="28"/>
                <w:szCs w:val="28"/>
              </w:rPr>
              <w:t>4.预算业务内部控制</w:t>
            </w:r>
          </w:p>
        </w:tc>
        <w:tc>
          <w:tcPr>
            <w:tcW w:w="585" w:type="pct"/>
            <w:vMerge w:val="restart"/>
            <w:noWrap w:val="0"/>
            <w:vAlign w:val="center"/>
          </w:tcPr>
          <w:p>
            <w:pPr>
              <w:widowControl w:val="0"/>
              <w:jc w:val="both"/>
              <w:rPr>
                <w:sz w:val="28"/>
                <w:szCs w:val="28"/>
              </w:rPr>
            </w:pPr>
          </w:p>
          <w:p>
            <w:pPr>
              <w:widowControl w:val="0"/>
              <w:jc w:val="both"/>
              <w:rPr>
                <w:sz w:val="28"/>
                <w:szCs w:val="28"/>
              </w:rPr>
            </w:pPr>
          </w:p>
          <w:p>
            <w:pPr>
              <w:pStyle w:val="9"/>
              <w:spacing w:beforeAutospacing="0" w:afterAutospacing="0" w:line="5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35</w:t>
            </w:r>
          </w:p>
        </w:tc>
        <w:tc>
          <w:tcPr>
            <w:tcW w:w="808" w:type="pct"/>
            <w:noWrap w:val="0"/>
            <w:vAlign w:val="top"/>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72" w:type="pct"/>
            <w:vMerge w:val="continue"/>
            <w:noWrap w:val="0"/>
            <w:vAlign w:val="center"/>
          </w:tcPr>
          <w:p>
            <w:pPr>
              <w:widowControl w:val="0"/>
              <w:overflowPunct w:val="0"/>
              <w:spacing w:line="500" w:lineRule="exact"/>
              <w:jc w:val="both"/>
              <w:rPr>
                <w:rFonts w:ascii="仿宋_GB2312" w:hAnsi="仿宋_GB2312" w:eastAsia="仿宋_GB2312" w:cs="仿宋_GB2312"/>
                <w:sz w:val="28"/>
                <w:szCs w:val="28"/>
              </w:rPr>
            </w:pPr>
          </w:p>
        </w:tc>
        <w:tc>
          <w:tcPr>
            <w:tcW w:w="2233" w:type="pct"/>
            <w:noWrap w:val="0"/>
            <w:vAlign w:val="center"/>
          </w:tcPr>
          <w:p>
            <w:pPr>
              <w:pStyle w:val="9"/>
              <w:spacing w:beforeAutospacing="0" w:afterAutospacing="0" w:line="500" w:lineRule="exact"/>
              <w:jc w:val="both"/>
              <w:rPr>
                <w:rFonts w:hint="eastAsia" w:ascii="仿宋_GB2312" w:hAnsi="仿宋_GB2312" w:eastAsia="仿宋_GB2312" w:cs="仿宋_GB2312"/>
                <w:sz w:val="28"/>
                <w:szCs w:val="28"/>
              </w:rPr>
            </w:pPr>
            <w:r>
              <w:rPr>
                <w:rFonts w:hint="eastAsia" w:ascii="仿宋_GB2312" w:eastAsia="仿宋_GB2312"/>
                <w:sz w:val="28"/>
                <w:szCs w:val="28"/>
              </w:rPr>
              <w:t>5.收支业务内部控制</w:t>
            </w:r>
          </w:p>
        </w:tc>
        <w:tc>
          <w:tcPr>
            <w:tcW w:w="585" w:type="pct"/>
            <w:vMerge w:val="continue"/>
            <w:noWrap w:val="0"/>
            <w:vAlign w:val="center"/>
          </w:tcPr>
          <w:p>
            <w:pPr>
              <w:pStyle w:val="9"/>
              <w:spacing w:beforeAutospacing="0" w:afterAutospacing="0" w:line="500" w:lineRule="exact"/>
              <w:jc w:val="center"/>
              <w:rPr>
                <w:rFonts w:ascii="仿宋_GB2312" w:hAnsi="仿宋_GB2312" w:eastAsia="仿宋_GB2312" w:cs="仿宋_GB2312"/>
                <w:color w:val="000000"/>
                <w:sz w:val="28"/>
                <w:szCs w:val="28"/>
              </w:rPr>
            </w:pPr>
          </w:p>
        </w:tc>
        <w:tc>
          <w:tcPr>
            <w:tcW w:w="808" w:type="pct"/>
            <w:noWrap w:val="0"/>
            <w:vAlign w:val="top"/>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72" w:type="pct"/>
            <w:vMerge w:val="continue"/>
            <w:noWrap w:val="0"/>
            <w:vAlign w:val="center"/>
          </w:tcPr>
          <w:p>
            <w:pPr>
              <w:widowControl w:val="0"/>
              <w:overflowPunct w:val="0"/>
              <w:spacing w:line="500" w:lineRule="exact"/>
              <w:jc w:val="both"/>
              <w:rPr>
                <w:rFonts w:ascii="仿宋_GB2312" w:hAnsi="仿宋_GB2312" w:eastAsia="仿宋_GB2312" w:cs="仿宋_GB2312"/>
                <w:sz w:val="28"/>
                <w:szCs w:val="28"/>
              </w:rPr>
            </w:pPr>
          </w:p>
        </w:tc>
        <w:tc>
          <w:tcPr>
            <w:tcW w:w="2233" w:type="pct"/>
            <w:noWrap w:val="0"/>
            <w:vAlign w:val="center"/>
          </w:tcPr>
          <w:p>
            <w:pPr>
              <w:pStyle w:val="9"/>
              <w:spacing w:beforeAutospacing="0" w:afterAutospacing="0" w:line="500" w:lineRule="exact"/>
              <w:jc w:val="both"/>
              <w:rPr>
                <w:rFonts w:ascii="仿宋_GB2312" w:eastAsia="仿宋_GB2312"/>
                <w:sz w:val="28"/>
                <w:szCs w:val="28"/>
              </w:rPr>
            </w:pPr>
            <w:r>
              <w:rPr>
                <w:rFonts w:hint="eastAsia" w:ascii="仿宋_GB2312" w:eastAsia="仿宋_GB2312"/>
                <w:sz w:val="28"/>
                <w:szCs w:val="28"/>
              </w:rPr>
              <w:t>6.政府采购业务内部控制</w:t>
            </w:r>
          </w:p>
        </w:tc>
        <w:tc>
          <w:tcPr>
            <w:tcW w:w="585" w:type="pct"/>
            <w:vMerge w:val="continue"/>
            <w:noWrap w:val="0"/>
            <w:vAlign w:val="center"/>
          </w:tcPr>
          <w:p>
            <w:pPr>
              <w:pStyle w:val="9"/>
              <w:spacing w:beforeAutospacing="0" w:afterAutospacing="0" w:line="500" w:lineRule="exact"/>
              <w:jc w:val="center"/>
              <w:rPr>
                <w:rFonts w:ascii="仿宋_GB2312" w:hAnsi="仿宋_GB2312" w:eastAsia="仿宋_GB2312" w:cs="仿宋_GB2312"/>
                <w:color w:val="000000"/>
                <w:sz w:val="28"/>
                <w:szCs w:val="28"/>
              </w:rPr>
            </w:pPr>
          </w:p>
        </w:tc>
        <w:tc>
          <w:tcPr>
            <w:tcW w:w="808" w:type="pct"/>
            <w:noWrap w:val="0"/>
            <w:vAlign w:val="top"/>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72" w:type="pct"/>
            <w:vMerge w:val="continue"/>
            <w:noWrap w:val="0"/>
            <w:vAlign w:val="center"/>
          </w:tcPr>
          <w:p>
            <w:pPr>
              <w:widowControl w:val="0"/>
              <w:overflowPunct w:val="0"/>
              <w:spacing w:line="500" w:lineRule="exact"/>
              <w:jc w:val="both"/>
              <w:rPr>
                <w:rFonts w:ascii="仿宋_GB2312" w:hAnsi="仿宋_GB2312" w:eastAsia="仿宋_GB2312" w:cs="仿宋_GB2312"/>
                <w:sz w:val="28"/>
                <w:szCs w:val="28"/>
              </w:rPr>
            </w:pPr>
          </w:p>
        </w:tc>
        <w:tc>
          <w:tcPr>
            <w:tcW w:w="2233" w:type="pct"/>
            <w:noWrap w:val="0"/>
            <w:vAlign w:val="center"/>
          </w:tcPr>
          <w:p>
            <w:pPr>
              <w:pStyle w:val="9"/>
              <w:spacing w:beforeAutospacing="0" w:afterAutospacing="0" w:line="500" w:lineRule="exact"/>
              <w:jc w:val="both"/>
              <w:rPr>
                <w:rFonts w:ascii="仿宋_GB2312" w:eastAsia="仿宋_GB2312"/>
                <w:sz w:val="28"/>
                <w:szCs w:val="28"/>
              </w:rPr>
            </w:pPr>
            <w:r>
              <w:rPr>
                <w:rFonts w:hint="eastAsia" w:ascii="仿宋_GB2312" w:eastAsia="仿宋_GB2312"/>
                <w:sz w:val="28"/>
                <w:szCs w:val="28"/>
              </w:rPr>
              <w:t>7.资产业务内部控制</w:t>
            </w:r>
          </w:p>
        </w:tc>
        <w:tc>
          <w:tcPr>
            <w:tcW w:w="585" w:type="pct"/>
            <w:vMerge w:val="continue"/>
            <w:noWrap w:val="0"/>
            <w:vAlign w:val="center"/>
          </w:tcPr>
          <w:p>
            <w:pPr>
              <w:pStyle w:val="9"/>
              <w:spacing w:beforeAutospacing="0" w:afterAutospacing="0" w:line="500" w:lineRule="exact"/>
              <w:jc w:val="center"/>
              <w:rPr>
                <w:rFonts w:ascii="仿宋_GB2312" w:hAnsi="仿宋_GB2312" w:eastAsia="仿宋_GB2312" w:cs="仿宋_GB2312"/>
                <w:color w:val="000000"/>
                <w:sz w:val="28"/>
                <w:szCs w:val="28"/>
              </w:rPr>
            </w:pPr>
          </w:p>
        </w:tc>
        <w:tc>
          <w:tcPr>
            <w:tcW w:w="808" w:type="pct"/>
            <w:noWrap w:val="0"/>
            <w:vAlign w:val="top"/>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72" w:type="pct"/>
            <w:vMerge w:val="continue"/>
            <w:noWrap w:val="0"/>
            <w:vAlign w:val="center"/>
          </w:tcPr>
          <w:p>
            <w:pPr>
              <w:widowControl w:val="0"/>
              <w:overflowPunct w:val="0"/>
              <w:spacing w:line="500" w:lineRule="exact"/>
              <w:jc w:val="both"/>
              <w:rPr>
                <w:rFonts w:ascii="仿宋_GB2312" w:hAnsi="仿宋_GB2312" w:eastAsia="仿宋_GB2312" w:cs="仿宋_GB2312"/>
                <w:sz w:val="28"/>
                <w:szCs w:val="28"/>
              </w:rPr>
            </w:pPr>
          </w:p>
        </w:tc>
        <w:tc>
          <w:tcPr>
            <w:tcW w:w="2233" w:type="pct"/>
            <w:noWrap w:val="0"/>
            <w:vAlign w:val="center"/>
          </w:tcPr>
          <w:p>
            <w:pPr>
              <w:pStyle w:val="9"/>
              <w:spacing w:beforeAutospacing="0" w:afterAutospacing="0" w:line="500" w:lineRule="exact"/>
              <w:jc w:val="both"/>
              <w:rPr>
                <w:rFonts w:ascii="仿宋_GB2312" w:eastAsia="仿宋_GB2312"/>
                <w:sz w:val="28"/>
                <w:szCs w:val="28"/>
              </w:rPr>
            </w:pPr>
            <w:r>
              <w:rPr>
                <w:rFonts w:hint="eastAsia" w:ascii="仿宋_GB2312" w:eastAsia="仿宋_GB2312"/>
                <w:sz w:val="28"/>
                <w:szCs w:val="28"/>
              </w:rPr>
              <w:t>8.建设项目内部控制</w:t>
            </w:r>
          </w:p>
        </w:tc>
        <w:tc>
          <w:tcPr>
            <w:tcW w:w="585" w:type="pct"/>
            <w:vMerge w:val="continue"/>
            <w:noWrap w:val="0"/>
            <w:vAlign w:val="center"/>
          </w:tcPr>
          <w:p>
            <w:pPr>
              <w:pStyle w:val="9"/>
              <w:spacing w:beforeAutospacing="0" w:afterAutospacing="0" w:line="500" w:lineRule="exact"/>
              <w:jc w:val="center"/>
              <w:rPr>
                <w:rFonts w:ascii="仿宋_GB2312" w:hAnsi="仿宋_GB2312" w:eastAsia="仿宋_GB2312" w:cs="仿宋_GB2312"/>
                <w:color w:val="000000"/>
                <w:sz w:val="28"/>
                <w:szCs w:val="28"/>
              </w:rPr>
            </w:pPr>
          </w:p>
        </w:tc>
        <w:tc>
          <w:tcPr>
            <w:tcW w:w="808" w:type="pct"/>
            <w:noWrap w:val="0"/>
            <w:vAlign w:val="top"/>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72" w:type="pct"/>
            <w:vMerge w:val="continue"/>
            <w:noWrap w:val="0"/>
            <w:vAlign w:val="center"/>
          </w:tcPr>
          <w:p>
            <w:pPr>
              <w:widowControl w:val="0"/>
              <w:overflowPunct w:val="0"/>
              <w:spacing w:line="500" w:lineRule="exact"/>
              <w:jc w:val="both"/>
              <w:rPr>
                <w:rFonts w:ascii="仿宋_GB2312" w:hAnsi="仿宋_GB2312" w:eastAsia="仿宋_GB2312" w:cs="仿宋_GB2312"/>
                <w:sz w:val="28"/>
                <w:szCs w:val="28"/>
              </w:rPr>
            </w:pPr>
          </w:p>
        </w:tc>
        <w:tc>
          <w:tcPr>
            <w:tcW w:w="2233" w:type="pct"/>
            <w:noWrap w:val="0"/>
            <w:vAlign w:val="center"/>
          </w:tcPr>
          <w:p>
            <w:pPr>
              <w:pStyle w:val="9"/>
              <w:spacing w:beforeAutospacing="0" w:afterAutospacing="0" w:line="500" w:lineRule="exact"/>
              <w:jc w:val="both"/>
              <w:rPr>
                <w:rFonts w:ascii="仿宋_GB2312" w:eastAsia="仿宋_GB2312"/>
                <w:sz w:val="28"/>
                <w:szCs w:val="28"/>
              </w:rPr>
            </w:pPr>
            <w:r>
              <w:rPr>
                <w:rFonts w:hint="eastAsia" w:ascii="仿宋_GB2312" w:eastAsia="仿宋_GB2312"/>
                <w:sz w:val="28"/>
                <w:szCs w:val="28"/>
              </w:rPr>
              <w:t>9.合同管理内部控制</w:t>
            </w:r>
          </w:p>
        </w:tc>
        <w:tc>
          <w:tcPr>
            <w:tcW w:w="585" w:type="pct"/>
            <w:vMerge w:val="continue"/>
            <w:noWrap w:val="0"/>
            <w:vAlign w:val="center"/>
          </w:tcPr>
          <w:p>
            <w:pPr>
              <w:pStyle w:val="9"/>
              <w:spacing w:beforeAutospacing="0" w:afterAutospacing="0" w:line="500" w:lineRule="exact"/>
              <w:jc w:val="center"/>
              <w:rPr>
                <w:rFonts w:ascii="仿宋_GB2312" w:hAnsi="仿宋_GB2312" w:eastAsia="仿宋_GB2312" w:cs="仿宋_GB2312"/>
                <w:color w:val="000000"/>
                <w:sz w:val="28"/>
                <w:szCs w:val="28"/>
              </w:rPr>
            </w:pPr>
          </w:p>
        </w:tc>
        <w:tc>
          <w:tcPr>
            <w:tcW w:w="808" w:type="pct"/>
            <w:noWrap w:val="0"/>
            <w:vAlign w:val="top"/>
          </w:tcPr>
          <w:p>
            <w:pPr>
              <w:pStyle w:val="9"/>
              <w:widowControl w:val="0"/>
              <w:spacing w:beforeAutospacing="0" w:afterAutospacing="0" w:line="50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72" w:type="pct"/>
            <w:vMerge w:val="restart"/>
            <w:noWrap w:val="0"/>
            <w:vAlign w:val="center"/>
          </w:tcPr>
          <w:p>
            <w:pPr>
              <w:widowControl w:val="0"/>
              <w:overflowPunct w:val="0"/>
              <w:spacing w:line="5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三、内部监督</w:t>
            </w:r>
          </w:p>
        </w:tc>
        <w:tc>
          <w:tcPr>
            <w:tcW w:w="2233" w:type="pct"/>
            <w:noWrap w:val="0"/>
            <w:vAlign w:val="center"/>
          </w:tcPr>
          <w:p>
            <w:pPr>
              <w:pStyle w:val="9"/>
              <w:spacing w:beforeAutospacing="0" w:afterAutospacing="0" w:line="500" w:lineRule="exact"/>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10.内部监督机制建立情况</w:t>
            </w:r>
          </w:p>
        </w:tc>
        <w:tc>
          <w:tcPr>
            <w:tcW w:w="585" w:type="pct"/>
            <w:vMerge w:val="restart"/>
            <w:noWrap w:val="0"/>
            <w:vAlign w:val="center"/>
          </w:tcPr>
          <w:p>
            <w:pPr>
              <w:pStyle w:val="9"/>
              <w:spacing w:beforeAutospacing="0" w:afterAutospacing="0" w:line="5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808" w:type="pct"/>
            <w:noWrap w:val="0"/>
            <w:vAlign w:val="top"/>
          </w:tcPr>
          <w:p>
            <w:pPr>
              <w:pStyle w:val="9"/>
              <w:widowControl w:val="0"/>
              <w:spacing w:beforeAutospacing="0" w:afterAutospacing="0" w:line="5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72" w:type="pct"/>
            <w:vMerge w:val="continue"/>
            <w:noWrap w:val="0"/>
            <w:vAlign w:val="center"/>
          </w:tcPr>
          <w:p>
            <w:pPr>
              <w:widowControl w:val="0"/>
              <w:overflowPunct w:val="0"/>
              <w:spacing w:line="500" w:lineRule="exact"/>
              <w:jc w:val="both"/>
              <w:rPr>
                <w:rFonts w:ascii="仿宋_GB2312" w:hAnsi="仿宋_GB2312" w:eastAsia="仿宋_GB2312" w:cs="仿宋_GB2312"/>
                <w:sz w:val="28"/>
                <w:szCs w:val="28"/>
              </w:rPr>
            </w:pPr>
          </w:p>
        </w:tc>
        <w:tc>
          <w:tcPr>
            <w:tcW w:w="2233" w:type="pct"/>
            <w:noWrap w:val="0"/>
            <w:vAlign w:val="center"/>
          </w:tcPr>
          <w:p>
            <w:pPr>
              <w:pStyle w:val="9"/>
              <w:spacing w:beforeAutospacing="0" w:afterAutospacing="0" w:line="500" w:lineRule="exact"/>
              <w:jc w:val="both"/>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11.内部监督机制实施情况</w:t>
            </w:r>
          </w:p>
        </w:tc>
        <w:tc>
          <w:tcPr>
            <w:tcW w:w="585" w:type="pct"/>
            <w:vMerge w:val="continue"/>
            <w:noWrap w:val="0"/>
            <w:vAlign w:val="center"/>
          </w:tcPr>
          <w:p>
            <w:pPr>
              <w:pStyle w:val="9"/>
              <w:spacing w:beforeAutospacing="0" w:afterAutospacing="0" w:line="500" w:lineRule="exact"/>
              <w:jc w:val="center"/>
              <w:rPr>
                <w:rFonts w:ascii="仿宋_GB2312" w:hAnsi="仿宋_GB2312" w:eastAsia="仿宋_GB2312" w:cs="仿宋_GB2312"/>
                <w:color w:val="000000"/>
                <w:sz w:val="28"/>
                <w:szCs w:val="28"/>
              </w:rPr>
            </w:pPr>
          </w:p>
        </w:tc>
        <w:tc>
          <w:tcPr>
            <w:tcW w:w="808" w:type="pct"/>
            <w:noWrap w:val="0"/>
            <w:vAlign w:val="top"/>
          </w:tcPr>
          <w:p>
            <w:pPr>
              <w:pStyle w:val="9"/>
              <w:widowControl w:val="0"/>
              <w:spacing w:beforeAutospacing="0" w:afterAutospacing="0" w:line="5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372" w:type="pct"/>
            <w:vMerge w:val="restart"/>
            <w:noWrap w:val="0"/>
            <w:vAlign w:val="center"/>
          </w:tcPr>
          <w:p>
            <w:pPr>
              <w:widowControl w:val="0"/>
              <w:overflowPunct w:val="0"/>
              <w:spacing w:line="50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eastAsia="zh-CN"/>
              </w:rPr>
              <w:t>部门本级及</w:t>
            </w:r>
            <w:r>
              <w:rPr>
                <w:rFonts w:hint="eastAsia" w:ascii="仿宋_GB2312" w:hAnsi="仿宋_GB2312" w:eastAsia="仿宋_GB2312" w:cs="仿宋_GB2312"/>
                <w:sz w:val="28"/>
                <w:szCs w:val="28"/>
              </w:rPr>
              <w:t>所属单位内部控制评价工作</w:t>
            </w:r>
          </w:p>
        </w:tc>
        <w:tc>
          <w:tcPr>
            <w:tcW w:w="2233" w:type="pct"/>
            <w:noWrap w:val="0"/>
            <w:vAlign w:val="center"/>
          </w:tcPr>
          <w:p>
            <w:pPr>
              <w:pStyle w:val="9"/>
              <w:spacing w:beforeAutospacing="0" w:afterAutospacing="0" w:line="500" w:lineRule="exact"/>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12。内部控制评价开展情况</w:t>
            </w:r>
          </w:p>
        </w:tc>
        <w:tc>
          <w:tcPr>
            <w:tcW w:w="585" w:type="pct"/>
            <w:vMerge w:val="restart"/>
            <w:noWrap w:val="0"/>
            <w:vAlign w:val="center"/>
          </w:tcPr>
          <w:p>
            <w:pPr>
              <w:pStyle w:val="9"/>
              <w:spacing w:beforeAutospacing="0" w:afterAutospacing="0" w:line="5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w:t>
            </w:r>
          </w:p>
        </w:tc>
        <w:tc>
          <w:tcPr>
            <w:tcW w:w="808" w:type="pct"/>
            <w:noWrap w:val="0"/>
            <w:vAlign w:val="top"/>
          </w:tcPr>
          <w:p>
            <w:pPr>
              <w:pStyle w:val="9"/>
              <w:widowControl w:val="0"/>
              <w:spacing w:beforeAutospacing="0" w:afterAutospacing="0" w:line="5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72" w:type="pct"/>
            <w:vMerge w:val="continue"/>
            <w:noWrap w:val="0"/>
            <w:vAlign w:val="center"/>
          </w:tcPr>
          <w:p>
            <w:pPr>
              <w:widowControl w:val="0"/>
              <w:overflowPunct w:val="0"/>
              <w:spacing w:line="500" w:lineRule="exact"/>
              <w:jc w:val="both"/>
              <w:rPr>
                <w:rFonts w:hint="eastAsia" w:ascii="仿宋_GB2312" w:hAnsi="仿宋_GB2312" w:eastAsia="仿宋_GB2312" w:cs="仿宋_GB2312"/>
                <w:sz w:val="28"/>
                <w:szCs w:val="28"/>
              </w:rPr>
            </w:pPr>
          </w:p>
        </w:tc>
        <w:tc>
          <w:tcPr>
            <w:tcW w:w="2233" w:type="pct"/>
            <w:noWrap w:val="0"/>
            <w:vAlign w:val="center"/>
          </w:tcPr>
          <w:p>
            <w:pPr>
              <w:pStyle w:val="9"/>
              <w:spacing w:beforeAutospacing="0" w:afterAutospacing="0" w:line="500" w:lineRule="exact"/>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13.内部控制评价结果应用情况</w:t>
            </w:r>
          </w:p>
        </w:tc>
        <w:tc>
          <w:tcPr>
            <w:tcW w:w="585" w:type="pct"/>
            <w:vMerge w:val="continue"/>
            <w:noWrap w:val="0"/>
            <w:vAlign w:val="center"/>
          </w:tcPr>
          <w:p>
            <w:pPr>
              <w:pStyle w:val="9"/>
              <w:spacing w:beforeAutospacing="0" w:afterAutospacing="0" w:line="500" w:lineRule="exact"/>
              <w:jc w:val="center"/>
              <w:rPr>
                <w:rFonts w:ascii="仿宋_GB2312" w:hAnsi="仿宋_GB2312" w:eastAsia="仿宋_GB2312" w:cs="仿宋_GB2312"/>
                <w:color w:val="000000"/>
                <w:sz w:val="28"/>
                <w:szCs w:val="28"/>
              </w:rPr>
            </w:pPr>
          </w:p>
        </w:tc>
        <w:tc>
          <w:tcPr>
            <w:tcW w:w="808" w:type="pct"/>
            <w:noWrap w:val="0"/>
            <w:vAlign w:val="top"/>
          </w:tcPr>
          <w:p>
            <w:pPr>
              <w:pStyle w:val="9"/>
              <w:widowControl w:val="0"/>
              <w:spacing w:beforeAutospacing="0" w:afterAutospacing="0" w:line="5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72" w:type="pct"/>
            <w:noWrap w:val="0"/>
            <w:vAlign w:val="center"/>
          </w:tcPr>
          <w:p>
            <w:pPr>
              <w:pStyle w:val="9"/>
              <w:spacing w:beforeAutospacing="0" w:afterAutospacing="0" w:line="5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五、补充指标</w:t>
            </w:r>
          </w:p>
        </w:tc>
        <w:tc>
          <w:tcPr>
            <w:tcW w:w="2233" w:type="pct"/>
            <w:noWrap w:val="0"/>
            <w:vAlign w:val="center"/>
          </w:tcPr>
          <w:p>
            <w:pPr>
              <w:pStyle w:val="9"/>
              <w:spacing w:beforeAutospacing="0" w:afterAutospacing="0" w:line="5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补充指标</w:t>
            </w:r>
          </w:p>
        </w:tc>
        <w:tc>
          <w:tcPr>
            <w:tcW w:w="585" w:type="pct"/>
            <w:noWrap w:val="0"/>
            <w:vAlign w:val="center"/>
          </w:tcPr>
          <w:p>
            <w:pPr>
              <w:pStyle w:val="9"/>
              <w:spacing w:beforeAutospacing="0" w:afterAutospacing="0" w:line="5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30</w:t>
            </w:r>
          </w:p>
        </w:tc>
        <w:tc>
          <w:tcPr>
            <w:tcW w:w="808" w:type="pct"/>
            <w:noWrap w:val="0"/>
            <w:vAlign w:val="top"/>
          </w:tcPr>
          <w:p>
            <w:pPr>
              <w:pStyle w:val="9"/>
              <w:widowControl w:val="0"/>
              <w:spacing w:beforeAutospacing="0" w:afterAutospacing="0" w:line="5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72" w:type="pct"/>
            <w:noWrap w:val="0"/>
            <w:vAlign w:val="center"/>
          </w:tcPr>
          <w:p>
            <w:pPr>
              <w:pStyle w:val="9"/>
              <w:spacing w:beforeAutospacing="0" w:afterAutospacing="0" w:line="500" w:lineRule="exact"/>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其他情况</w:t>
            </w:r>
          </w:p>
        </w:tc>
        <w:tc>
          <w:tcPr>
            <w:tcW w:w="2233" w:type="pct"/>
            <w:noWrap w:val="0"/>
            <w:vAlign w:val="center"/>
          </w:tcPr>
          <w:p>
            <w:pPr>
              <w:pStyle w:val="9"/>
              <w:spacing w:beforeAutospacing="0" w:afterAutospacing="0" w:line="500" w:lineRule="exact"/>
              <w:jc w:val="center"/>
              <w:rPr>
                <w:rFonts w:hint="eastAsia" w:ascii="仿宋_GB2312" w:hAnsi="仿宋_GB2312" w:eastAsia="仿宋_GB2312" w:cs="仿宋_GB2312"/>
                <w:color w:val="000000"/>
                <w:sz w:val="28"/>
                <w:szCs w:val="28"/>
              </w:rPr>
            </w:pPr>
          </w:p>
        </w:tc>
        <w:tc>
          <w:tcPr>
            <w:tcW w:w="585" w:type="pct"/>
            <w:noWrap w:val="0"/>
            <w:vAlign w:val="center"/>
          </w:tcPr>
          <w:p>
            <w:pPr>
              <w:pStyle w:val="9"/>
              <w:spacing w:beforeAutospacing="0" w:afterAutospacing="0" w:line="500" w:lineRule="exact"/>
              <w:jc w:val="center"/>
              <w:rPr>
                <w:rFonts w:hint="eastAsia" w:ascii="仿宋_GB2312" w:hAnsi="仿宋_GB2312" w:eastAsia="仿宋_GB2312" w:cs="仿宋_GB2312"/>
                <w:color w:val="000000"/>
                <w:sz w:val="28"/>
                <w:szCs w:val="28"/>
              </w:rPr>
            </w:pPr>
          </w:p>
        </w:tc>
        <w:tc>
          <w:tcPr>
            <w:tcW w:w="808" w:type="pct"/>
            <w:noWrap w:val="0"/>
            <w:vAlign w:val="top"/>
          </w:tcPr>
          <w:p>
            <w:pPr>
              <w:pStyle w:val="9"/>
              <w:widowControl w:val="0"/>
              <w:spacing w:beforeAutospacing="0" w:afterAutospacing="0" w:line="5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05" w:type="pct"/>
            <w:gridSpan w:val="2"/>
            <w:noWrap w:val="0"/>
            <w:vAlign w:val="center"/>
          </w:tcPr>
          <w:p>
            <w:pPr>
              <w:pStyle w:val="9"/>
              <w:widowControl w:val="0"/>
              <w:spacing w:beforeAutospacing="0" w:afterAutospacing="0" w:line="50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sz w:val="28"/>
                <w:szCs w:val="28"/>
              </w:rPr>
              <w:t>合计</w:t>
            </w:r>
          </w:p>
        </w:tc>
        <w:tc>
          <w:tcPr>
            <w:tcW w:w="585" w:type="pct"/>
            <w:noWrap w:val="0"/>
            <w:vAlign w:val="center"/>
          </w:tcPr>
          <w:p>
            <w:pPr>
              <w:pStyle w:val="9"/>
              <w:widowControl w:val="0"/>
              <w:spacing w:beforeAutospacing="0" w:afterAutospacing="0" w:line="50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100</w:t>
            </w:r>
          </w:p>
        </w:tc>
        <w:tc>
          <w:tcPr>
            <w:tcW w:w="808" w:type="pct"/>
            <w:noWrap w:val="0"/>
            <w:vAlign w:val="top"/>
          </w:tcPr>
          <w:p>
            <w:pPr>
              <w:pStyle w:val="9"/>
              <w:widowControl w:val="0"/>
              <w:spacing w:beforeAutospacing="0" w:afterAutospacing="0" w:line="500" w:lineRule="exact"/>
              <w:jc w:val="center"/>
              <w:rPr>
                <w:rFonts w:hint="eastAsia" w:ascii="仿宋_GB2312" w:hAnsi="仿宋_GB2312" w:eastAsia="仿宋_GB2312" w:cs="仿宋_GB2312"/>
                <w:b/>
                <w:bCs/>
                <w:color w:val="000000"/>
                <w:sz w:val="28"/>
                <w:szCs w:val="28"/>
              </w:rPr>
            </w:pPr>
          </w:p>
        </w:tc>
      </w:tr>
    </w:tbl>
    <w:p>
      <w:pPr>
        <w:rPr>
          <w:rFonts w:hint="eastAsia" w:ascii="仿宋_GB2312" w:hAnsi="仿宋_GB2312" w:eastAsia="仿宋_GB2312" w:cs="仿宋_GB2312"/>
          <w:sz w:val="32"/>
          <w:szCs w:val="32"/>
        </w:rPr>
      </w:pPr>
    </w:p>
    <w:p>
      <w:pPr>
        <w:spacing w:line="588"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三、评价发现的问题及整改完成情况</w:t>
      </w:r>
    </w:p>
    <w:p>
      <w:pPr>
        <w:rPr>
          <w:rFonts w:hint="eastAsia" w:ascii="仿宋_GB2312" w:hAnsi="仿宋_GB2312" w:eastAsia="仿宋_GB2312" w:cs="仿宋_GB2312"/>
          <w:sz w:val="32"/>
          <w:szCs w:val="32"/>
        </w:rPr>
      </w:pPr>
    </w:p>
    <w:p>
      <w:pPr>
        <w:pStyle w:val="2"/>
        <w:ind w:firstLine="480"/>
        <w:rPr>
          <w:rFonts w:hint="eastAsia"/>
        </w:rPr>
      </w:pPr>
    </w:p>
    <w:p>
      <w:pPr>
        <w:pStyle w:val="2"/>
        <w:ind w:firstLine="480"/>
      </w:pPr>
    </w:p>
    <w:p>
      <w:pPr>
        <w:pStyle w:val="2"/>
        <w:ind w:firstLine="480"/>
      </w:pPr>
    </w:p>
    <w:p>
      <w:pPr>
        <w:pStyle w:val="2"/>
        <w:ind w:firstLine="480"/>
      </w:pPr>
    </w:p>
    <w:p>
      <w:pPr>
        <w:pStyle w:val="2"/>
        <w:ind w:firstLine="48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E0002EFF" w:usb1="C000785B"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华文中宋">
    <w:altName w:val="汉仪中宋简"/>
    <w:panose1 w:val="02010600040101010101"/>
    <w:charset w:val="00"/>
    <w:family w:val="auto"/>
    <w:pitch w:val="default"/>
    <w:sig w:usb0="00000287" w:usb1="080F0000" w:usb2="00000000" w:usb3="00000000" w:csb0="0004009F" w:csb1="DFD70000"/>
  </w:font>
  <w:font w:name="华文楷体">
    <w:altName w:val="方正楷体_GBK"/>
    <w:panose1 w:val="02010600040101010101"/>
    <w:charset w:val="00"/>
    <w:family w:val="auto"/>
    <w:pitch w:val="default"/>
    <w:sig w:usb0="00000287" w:usb1="080F0000" w:usb2="00000010" w:usb3="00000000" w:csb0="0004009F" w:csb1="00000000"/>
  </w:font>
  <w:font w:name="楷体">
    <w:altName w:val="方正楷体_GBK"/>
    <w:panose1 w:val="02010609060101010101"/>
    <w:charset w:val="00"/>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7"/>
                            <w:rPr>
                              <w:sz w:val="20"/>
                              <w:szCs w:val="28"/>
                            </w:rPr>
                          </w:pPr>
                          <w:r>
                            <w:rPr>
                              <w:sz w:val="20"/>
                              <w:szCs w:val="28"/>
                            </w:rPr>
                            <w:fldChar w:fldCharType="begin"/>
                          </w:r>
                          <w:r>
                            <w:rPr>
                              <w:sz w:val="20"/>
                              <w:szCs w:val="28"/>
                            </w:rPr>
                            <w:instrText xml:space="preserve"> PAGE  \* MERGEFORMAT </w:instrText>
                          </w:r>
                          <w:r>
                            <w:rPr>
                              <w:sz w:val="20"/>
                              <w:szCs w:val="28"/>
                            </w:rPr>
                            <w:fldChar w:fldCharType="separate"/>
                          </w:r>
                          <w:r>
                            <w:rPr>
                              <w:sz w:val="20"/>
                              <w:szCs w:val="28"/>
                            </w:rPr>
                            <w:t>1</w:t>
                          </w:r>
                          <w:r>
                            <w:rPr>
                              <w:sz w:val="20"/>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npu/GgIAACc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Uq7IcujLpK0uoycrdtuuX3Vr&#10;6xM29fYileD4qsEoaxbiI/PQBsaH3uMDDqksWtreomRv/ae/3ad8UIYoJS20VlGDx0CJemtAZZLl&#10;YPjB2A6GOeg7C/GCHsySTfzgoxpM6a3+iEewTD0kUwGFmeHoBqIG8y7C64N4TFwsl1cfQnQsrs3G&#10;8Z7ahFZwy0MEuhn0hNEFGJCVHKgx09a/nCT3X/2c9fS+F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B6em78aAgAAJwQAAA4AAAAAAAAAAQAgAAAANQEAAGRycy9lMm9Eb2MueG1sUEsFBgAA&#10;AAAGAAYAWQEAAMEFAAAAAA==&#10;">
              <v:fill on="f" focussize="0,0"/>
              <v:stroke on="f" weight="0.5pt"/>
              <v:imagedata o:title=""/>
              <o:lock v:ext="edit" aspectratio="f"/>
              <v:textbox inset="0mm,0mm,0mm,0mm" style="mso-fit-shape-to-text:t;">
                <w:txbxContent>
                  <w:p>
                    <w:pPr>
                      <w:pStyle w:val="7"/>
                      <w:rPr>
                        <w:sz w:val="20"/>
                        <w:szCs w:val="28"/>
                      </w:rPr>
                    </w:pPr>
                    <w:r>
                      <w:rPr>
                        <w:sz w:val="20"/>
                        <w:szCs w:val="28"/>
                      </w:rPr>
                      <w:fldChar w:fldCharType="begin"/>
                    </w:r>
                    <w:r>
                      <w:rPr>
                        <w:sz w:val="20"/>
                        <w:szCs w:val="28"/>
                      </w:rPr>
                      <w:instrText xml:space="preserve"> PAGE  \* MERGEFORMAT </w:instrText>
                    </w:r>
                    <w:r>
                      <w:rPr>
                        <w:sz w:val="20"/>
                        <w:szCs w:val="28"/>
                      </w:rPr>
                      <w:fldChar w:fldCharType="separate"/>
                    </w:r>
                    <w:r>
                      <w:rPr>
                        <w:sz w:val="20"/>
                        <w:szCs w:val="28"/>
                      </w:rPr>
                      <w:t>1</w:t>
                    </w:r>
                    <w:r>
                      <w:rPr>
                        <w:sz w:val="20"/>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DNZvYQuQEAAGADAAAOAAAAAAAAAAEAIAAAADQBAABkcnMv&#10;ZTJvRG9jLnhtbFBLBQYAAAAABgAGAFkBAABf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C7CAUuuQEAAGADAAAOAAAAAAAAAAEAIAAAADQBAABkcnMv&#10;ZTJvRG9jLnhtbFBLBQYAAAAABgAGAFkBAABf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AC4F6A"/>
    <w:multiLevelType w:val="multilevel"/>
    <w:tmpl w:val="DCAC4F6A"/>
    <w:lvl w:ilvl="0" w:tentative="0">
      <w:start w:val="1"/>
      <w:numFmt w:val="chineseCountingThousand"/>
      <w:suff w:val="nothing"/>
      <w:lvlText w:val="%1、"/>
      <w:lvlJc w:val="left"/>
      <w:pPr>
        <w:ind w:left="0" w:firstLine="0"/>
      </w:pPr>
      <w:rPr>
        <w:rFonts w:hint="eastAsia"/>
        <w:b/>
        <w:bCs/>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AA13BC5"/>
    <w:multiLevelType w:val="multilevel"/>
    <w:tmpl w:val="1AA13BC5"/>
    <w:lvl w:ilvl="0" w:tentative="0">
      <w:start w:val="1"/>
      <w:numFmt w:val="chineseCountingThousand"/>
      <w:pStyle w:val="15"/>
      <w:suff w:val="nothing"/>
      <w:lvlText w:val="（%1）"/>
      <w:lvlJc w:val="left"/>
      <w:pPr>
        <w:ind w:left="0" w:firstLine="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2">
    <w:nsid w:val="44FE10A1"/>
    <w:multiLevelType w:val="multilevel"/>
    <w:tmpl w:val="44FE10A1"/>
    <w:lvl w:ilvl="0" w:tentative="0">
      <w:start w:val="1"/>
      <w:numFmt w:val="chineseCountingThousand"/>
      <w:suff w:val="nothing"/>
      <w:lvlText w:val="%1、"/>
      <w:lvlJc w:val="left"/>
      <w:pPr>
        <w:ind w:left="0" w:firstLine="0"/>
      </w:pPr>
      <w:rPr>
        <w:rFonts w:hint="eastAsia"/>
        <w:b/>
        <w:bCs/>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5D0668FC"/>
    <w:multiLevelType w:val="multilevel"/>
    <w:tmpl w:val="5D0668FC"/>
    <w:lvl w:ilvl="0" w:tentative="0">
      <w:start w:val="1"/>
      <w:numFmt w:val="chineseCountingThousand"/>
      <w:suff w:val="nothing"/>
      <w:lvlText w:val="第%1条  "/>
      <w:lvlJc w:val="left"/>
      <w:pPr>
        <w:ind w:left="420" w:hanging="132"/>
      </w:pPr>
      <w:rPr>
        <w:rFonts w:hint="eastAsia" w:ascii="仿宋_GB2312" w:hAnsi="仿宋_GB2312" w:eastAsia="仿宋_GB2312" w:cs="仿宋_GB2312"/>
        <w:b/>
        <w:color w:val="000000"/>
        <w:sz w:val="32"/>
        <w:szCs w:val="32"/>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num>
  <w:num w:numId="4">
    <w:abstractNumId w:val="3"/>
  </w:num>
  <w:num w:numId="5">
    <w:abstractNumId w:val="1"/>
    <w:lvlOverride w:ilvl="0">
      <w:startOverride w:val="1"/>
    </w:lvlOverride>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lM2ViOWE3ZmFiYjI5YzU3MDgzYzVlODIzNTBlYWMifQ=="/>
  </w:docVars>
  <w:rsids>
    <w:rsidRoot w:val="65FD1246"/>
    <w:rsid w:val="00007ADB"/>
    <w:rsid w:val="00014EF8"/>
    <w:rsid w:val="000407BD"/>
    <w:rsid w:val="00047563"/>
    <w:rsid w:val="00065539"/>
    <w:rsid w:val="00071C18"/>
    <w:rsid w:val="000930B5"/>
    <w:rsid w:val="000953B8"/>
    <w:rsid w:val="000A7C0C"/>
    <w:rsid w:val="000C0FA2"/>
    <w:rsid w:val="000C17C3"/>
    <w:rsid w:val="000D44DD"/>
    <w:rsid w:val="00124E51"/>
    <w:rsid w:val="001677DD"/>
    <w:rsid w:val="001D7A75"/>
    <w:rsid w:val="001E3DA7"/>
    <w:rsid w:val="00200BFD"/>
    <w:rsid w:val="0022636A"/>
    <w:rsid w:val="00235E3E"/>
    <w:rsid w:val="002648CF"/>
    <w:rsid w:val="0026734E"/>
    <w:rsid w:val="002A6984"/>
    <w:rsid w:val="002B6080"/>
    <w:rsid w:val="002E7C9B"/>
    <w:rsid w:val="00391D56"/>
    <w:rsid w:val="003B2F41"/>
    <w:rsid w:val="003D2302"/>
    <w:rsid w:val="00465297"/>
    <w:rsid w:val="004B0E6F"/>
    <w:rsid w:val="00520574"/>
    <w:rsid w:val="00533EF1"/>
    <w:rsid w:val="00544608"/>
    <w:rsid w:val="00555D96"/>
    <w:rsid w:val="006768E6"/>
    <w:rsid w:val="006968B0"/>
    <w:rsid w:val="00696F56"/>
    <w:rsid w:val="00697F91"/>
    <w:rsid w:val="006E23DA"/>
    <w:rsid w:val="00722884"/>
    <w:rsid w:val="007431B5"/>
    <w:rsid w:val="00743B13"/>
    <w:rsid w:val="007854E6"/>
    <w:rsid w:val="008621FE"/>
    <w:rsid w:val="0086577F"/>
    <w:rsid w:val="00867B78"/>
    <w:rsid w:val="008B733F"/>
    <w:rsid w:val="00923822"/>
    <w:rsid w:val="00942B30"/>
    <w:rsid w:val="00953029"/>
    <w:rsid w:val="009B0EE6"/>
    <w:rsid w:val="009B15C4"/>
    <w:rsid w:val="009B4C60"/>
    <w:rsid w:val="00A019A1"/>
    <w:rsid w:val="00A46862"/>
    <w:rsid w:val="00A73230"/>
    <w:rsid w:val="00A90C36"/>
    <w:rsid w:val="00AE603B"/>
    <w:rsid w:val="00AF26E0"/>
    <w:rsid w:val="00AF434C"/>
    <w:rsid w:val="00B410BF"/>
    <w:rsid w:val="00B43590"/>
    <w:rsid w:val="00B93D0D"/>
    <w:rsid w:val="00BA2998"/>
    <w:rsid w:val="00BD2F90"/>
    <w:rsid w:val="00C12033"/>
    <w:rsid w:val="00C5531E"/>
    <w:rsid w:val="00C639F7"/>
    <w:rsid w:val="00C9227E"/>
    <w:rsid w:val="00C95229"/>
    <w:rsid w:val="00C95ECF"/>
    <w:rsid w:val="00CA01D3"/>
    <w:rsid w:val="00CA5D02"/>
    <w:rsid w:val="00CB2440"/>
    <w:rsid w:val="00CE710F"/>
    <w:rsid w:val="00D24443"/>
    <w:rsid w:val="00D76F54"/>
    <w:rsid w:val="00DD6DD3"/>
    <w:rsid w:val="00DF5496"/>
    <w:rsid w:val="00E34A49"/>
    <w:rsid w:val="00E411D3"/>
    <w:rsid w:val="00E92B09"/>
    <w:rsid w:val="00EB0AFD"/>
    <w:rsid w:val="00EC287C"/>
    <w:rsid w:val="00EE1FD4"/>
    <w:rsid w:val="00EE248C"/>
    <w:rsid w:val="00F03EAA"/>
    <w:rsid w:val="00F27BD0"/>
    <w:rsid w:val="00F32E22"/>
    <w:rsid w:val="00F535E8"/>
    <w:rsid w:val="00F60609"/>
    <w:rsid w:val="00F766EA"/>
    <w:rsid w:val="00F77ACE"/>
    <w:rsid w:val="00F90EAE"/>
    <w:rsid w:val="00F95CE9"/>
    <w:rsid w:val="00FD6811"/>
    <w:rsid w:val="00FE4C9F"/>
    <w:rsid w:val="04463D2B"/>
    <w:rsid w:val="07EFC149"/>
    <w:rsid w:val="088668A6"/>
    <w:rsid w:val="09EB3199"/>
    <w:rsid w:val="09EE0311"/>
    <w:rsid w:val="09FEB40A"/>
    <w:rsid w:val="0AE648E9"/>
    <w:rsid w:val="0B7A2979"/>
    <w:rsid w:val="0C2703C3"/>
    <w:rsid w:val="0EED1A41"/>
    <w:rsid w:val="10E330B5"/>
    <w:rsid w:val="114E524B"/>
    <w:rsid w:val="11A42091"/>
    <w:rsid w:val="15EB1802"/>
    <w:rsid w:val="167697F2"/>
    <w:rsid w:val="16F7DD25"/>
    <w:rsid w:val="17496C0D"/>
    <w:rsid w:val="196F8F5F"/>
    <w:rsid w:val="19B906A4"/>
    <w:rsid w:val="1DA9444F"/>
    <w:rsid w:val="1E39B91E"/>
    <w:rsid w:val="1E3D38F7"/>
    <w:rsid w:val="1F5BB926"/>
    <w:rsid w:val="1F623AFB"/>
    <w:rsid w:val="1F7FC4D0"/>
    <w:rsid w:val="1FBF5DA4"/>
    <w:rsid w:val="1FEF8633"/>
    <w:rsid w:val="21661111"/>
    <w:rsid w:val="22ED0094"/>
    <w:rsid w:val="237F1B25"/>
    <w:rsid w:val="24262D8F"/>
    <w:rsid w:val="267EC1C7"/>
    <w:rsid w:val="27D33279"/>
    <w:rsid w:val="27E7F54A"/>
    <w:rsid w:val="290B4DBA"/>
    <w:rsid w:val="29DFD3C2"/>
    <w:rsid w:val="2AB00AE9"/>
    <w:rsid w:val="2B7FD4B4"/>
    <w:rsid w:val="2BA67A8D"/>
    <w:rsid w:val="2D8A43D9"/>
    <w:rsid w:val="2DF91906"/>
    <w:rsid w:val="2F1F522A"/>
    <w:rsid w:val="2F6E7B9D"/>
    <w:rsid w:val="2F7470EF"/>
    <w:rsid w:val="2F85599E"/>
    <w:rsid w:val="2FED3EA9"/>
    <w:rsid w:val="31F6ED67"/>
    <w:rsid w:val="32843AED"/>
    <w:rsid w:val="3487EA06"/>
    <w:rsid w:val="35192FFA"/>
    <w:rsid w:val="357D6357"/>
    <w:rsid w:val="36857E34"/>
    <w:rsid w:val="369E4A52"/>
    <w:rsid w:val="36CA5847"/>
    <w:rsid w:val="3773799D"/>
    <w:rsid w:val="37F6D2DF"/>
    <w:rsid w:val="38B927DE"/>
    <w:rsid w:val="38F39C23"/>
    <w:rsid w:val="39290686"/>
    <w:rsid w:val="397F0B36"/>
    <w:rsid w:val="39DF868F"/>
    <w:rsid w:val="39DFBD37"/>
    <w:rsid w:val="39EB02CD"/>
    <w:rsid w:val="39FB5379"/>
    <w:rsid w:val="39FE78FE"/>
    <w:rsid w:val="3AFD85F4"/>
    <w:rsid w:val="3B3E7704"/>
    <w:rsid w:val="3B79C1AF"/>
    <w:rsid w:val="3BEB0AB4"/>
    <w:rsid w:val="3BF7AC0F"/>
    <w:rsid w:val="3BFFA65D"/>
    <w:rsid w:val="3DDDF557"/>
    <w:rsid w:val="3DDFE38F"/>
    <w:rsid w:val="3DFF0CF1"/>
    <w:rsid w:val="3E7FBCAD"/>
    <w:rsid w:val="3EF7F41E"/>
    <w:rsid w:val="3EF9F00B"/>
    <w:rsid w:val="3F5513BD"/>
    <w:rsid w:val="3FBA05E1"/>
    <w:rsid w:val="3FBC8B16"/>
    <w:rsid w:val="3FDA411F"/>
    <w:rsid w:val="3FDBA498"/>
    <w:rsid w:val="3FE57AA7"/>
    <w:rsid w:val="3FEA0018"/>
    <w:rsid w:val="3FEF9017"/>
    <w:rsid w:val="3FFF9E12"/>
    <w:rsid w:val="40550877"/>
    <w:rsid w:val="40C96D66"/>
    <w:rsid w:val="42161EE0"/>
    <w:rsid w:val="43EC504E"/>
    <w:rsid w:val="45B47DFE"/>
    <w:rsid w:val="45F77DEB"/>
    <w:rsid w:val="4757929D"/>
    <w:rsid w:val="48C95C23"/>
    <w:rsid w:val="497EE5BA"/>
    <w:rsid w:val="4B33D648"/>
    <w:rsid w:val="4B7C1854"/>
    <w:rsid w:val="4BA559E2"/>
    <w:rsid w:val="4CB5100D"/>
    <w:rsid w:val="4E5E123E"/>
    <w:rsid w:val="4ECF74AE"/>
    <w:rsid w:val="4F5AD076"/>
    <w:rsid w:val="4FDD309E"/>
    <w:rsid w:val="4FDF180D"/>
    <w:rsid w:val="5003759B"/>
    <w:rsid w:val="50F30B4D"/>
    <w:rsid w:val="52F12681"/>
    <w:rsid w:val="53A872CF"/>
    <w:rsid w:val="53B18618"/>
    <w:rsid w:val="53FBE25D"/>
    <w:rsid w:val="54C12859"/>
    <w:rsid w:val="57DD4997"/>
    <w:rsid w:val="57FD3280"/>
    <w:rsid w:val="58DF7D87"/>
    <w:rsid w:val="597F2619"/>
    <w:rsid w:val="5B3C07F2"/>
    <w:rsid w:val="5B9F346E"/>
    <w:rsid w:val="5CEEF89B"/>
    <w:rsid w:val="5D18BE5B"/>
    <w:rsid w:val="5D294F7B"/>
    <w:rsid w:val="5DCA256F"/>
    <w:rsid w:val="5DED70AD"/>
    <w:rsid w:val="5E79BA1E"/>
    <w:rsid w:val="5F378F00"/>
    <w:rsid w:val="5F3C7D59"/>
    <w:rsid w:val="5FBF2B4A"/>
    <w:rsid w:val="5FDD4930"/>
    <w:rsid w:val="5FDFBE89"/>
    <w:rsid w:val="5FE3157E"/>
    <w:rsid w:val="5FEBD2C7"/>
    <w:rsid w:val="636FC7C1"/>
    <w:rsid w:val="637D79F8"/>
    <w:rsid w:val="650753E9"/>
    <w:rsid w:val="65143FAD"/>
    <w:rsid w:val="6557C7FC"/>
    <w:rsid w:val="65639356"/>
    <w:rsid w:val="65FD1246"/>
    <w:rsid w:val="66F411F2"/>
    <w:rsid w:val="677F3874"/>
    <w:rsid w:val="679E6663"/>
    <w:rsid w:val="67A107F2"/>
    <w:rsid w:val="67B70BEF"/>
    <w:rsid w:val="67FDF292"/>
    <w:rsid w:val="69771FA7"/>
    <w:rsid w:val="69D70E3B"/>
    <w:rsid w:val="6B73358F"/>
    <w:rsid w:val="6BEEDADC"/>
    <w:rsid w:val="6BF98925"/>
    <w:rsid w:val="6BFD46B6"/>
    <w:rsid w:val="6BFEB715"/>
    <w:rsid w:val="6BFF3A6F"/>
    <w:rsid w:val="6C494E84"/>
    <w:rsid w:val="6C7D5FFD"/>
    <w:rsid w:val="6E023B5C"/>
    <w:rsid w:val="6E2B4CBF"/>
    <w:rsid w:val="6E7FE424"/>
    <w:rsid w:val="6EB5B72D"/>
    <w:rsid w:val="6ED57E5E"/>
    <w:rsid w:val="6F6BF821"/>
    <w:rsid w:val="6F7D2D92"/>
    <w:rsid w:val="6F7F4838"/>
    <w:rsid w:val="6F7FD2A4"/>
    <w:rsid w:val="6F9D4586"/>
    <w:rsid w:val="6FCFE1C4"/>
    <w:rsid w:val="6FE7455B"/>
    <w:rsid w:val="6FF8EAED"/>
    <w:rsid w:val="6FFC5776"/>
    <w:rsid w:val="6FFE3F2A"/>
    <w:rsid w:val="6FFFA183"/>
    <w:rsid w:val="704C0A9F"/>
    <w:rsid w:val="71B2BF2D"/>
    <w:rsid w:val="72087E49"/>
    <w:rsid w:val="724462F4"/>
    <w:rsid w:val="72562D7B"/>
    <w:rsid w:val="72D3699A"/>
    <w:rsid w:val="737B7F2A"/>
    <w:rsid w:val="737D91D6"/>
    <w:rsid w:val="73B4CBFB"/>
    <w:rsid w:val="73DF2A0A"/>
    <w:rsid w:val="74B98994"/>
    <w:rsid w:val="74FA7111"/>
    <w:rsid w:val="74FB5D02"/>
    <w:rsid w:val="75BEF65C"/>
    <w:rsid w:val="7645789A"/>
    <w:rsid w:val="76480618"/>
    <w:rsid w:val="76A63A8C"/>
    <w:rsid w:val="76BB6237"/>
    <w:rsid w:val="76DD7A17"/>
    <w:rsid w:val="76FA9139"/>
    <w:rsid w:val="77693B91"/>
    <w:rsid w:val="7779C11A"/>
    <w:rsid w:val="77B777F0"/>
    <w:rsid w:val="77BDCF45"/>
    <w:rsid w:val="77DB5B10"/>
    <w:rsid w:val="77DE0E95"/>
    <w:rsid w:val="77EF31B2"/>
    <w:rsid w:val="77F5C07A"/>
    <w:rsid w:val="77F71C84"/>
    <w:rsid w:val="77FC1B10"/>
    <w:rsid w:val="77FD04E1"/>
    <w:rsid w:val="77FEC1AF"/>
    <w:rsid w:val="78442ADE"/>
    <w:rsid w:val="79B76C44"/>
    <w:rsid w:val="79D7C3FE"/>
    <w:rsid w:val="79FB8317"/>
    <w:rsid w:val="7A7D604B"/>
    <w:rsid w:val="7A9BDDD4"/>
    <w:rsid w:val="7ABFCB36"/>
    <w:rsid w:val="7AF746B0"/>
    <w:rsid w:val="7B684B94"/>
    <w:rsid w:val="7B6C80F9"/>
    <w:rsid w:val="7B7E85BD"/>
    <w:rsid w:val="7BA92E3E"/>
    <w:rsid w:val="7BB87E52"/>
    <w:rsid w:val="7BBFE39C"/>
    <w:rsid w:val="7BCE9268"/>
    <w:rsid w:val="7BEFCFEF"/>
    <w:rsid w:val="7BFEDA10"/>
    <w:rsid w:val="7C3F7FC0"/>
    <w:rsid w:val="7C7FCB9A"/>
    <w:rsid w:val="7C9D2A7F"/>
    <w:rsid w:val="7CBD9F28"/>
    <w:rsid w:val="7D4FB7AF"/>
    <w:rsid w:val="7D6B05E6"/>
    <w:rsid w:val="7D6EA4ED"/>
    <w:rsid w:val="7DB6AEC4"/>
    <w:rsid w:val="7DB90028"/>
    <w:rsid w:val="7DBE8F0D"/>
    <w:rsid w:val="7DBFFD21"/>
    <w:rsid w:val="7DDDDF42"/>
    <w:rsid w:val="7DE76F7F"/>
    <w:rsid w:val="7DF874B6"/>
    <w:rsid w:val="7DFE138B"/>
    <w:rsid w:val="7DFF2E8A"/>
    <w:rsid w:val="7DFF3300"/>
    <w:rsid w:val="7DFF528C"/>
    <w:rsid w:val="7DFFB340"/>
    <w:rsid w:val="7E6416AA"/>
    <w:rsid w:val="7E6B2317"/>
    <w:rsid w:val="7E6C209B"/>
    <w:rsid w:val="7EBC494C"/>
    <w:rsid w:val="7EDAA921"/>
    <w:rsid w:val="7EDE1C0A"/>
    <w:rsid w:val="7EEFE0DB"/>
    <w:rsid w:val="7EFFB2F1"/>
    <w:rsid w:val="7EFFFC3D"/>
    <w:rsid w:val="7F339C99"/>
    <w:rsid w:val="7F3AA410"/>
    <w:rsid w:val="7F7A1369"/>
    <w:rsid w:val="7F8F884D"/>
    <w:rsid w:val="7F8FA779"/>
    <w:rsid w:val="7F9D224B"/>
    <w:rsid w:val="7F9F7FE7"/>
    <w:rsid w:val="7FA617C3"/>
    <w:rsid w:val="7FA73782"/>
    <w:rsid w:val="7FAD02BA"/>
    <w:rsid w:val="7FB71489"/>
    <w:rsid w:val="7FB7CCE2"/>
    <w:rsid w:val="7FD22291"/>
    <w:rsid w:val="7FDF28F6"/>
    <w:rsid w:val="7FDF2C28"/>
    <w:rsid w:val="7FDF7DBD"/>
    <w:rsid w:val="7FE5323E"/>
    <w:rsid w:val="7FEB4938"/>
    <w:rsid w:val="7FEF4541"/>
    <w:rsid w:val="7FEF5395"/>
    <w:rsid w:val="7FEF7DEA"/>
    <w:rsid w:val="7FEFE0DD"/>
    <w:rsid w:val="7FF12AFF"/>
    <w:rsid w:val="7FF33DE7"/>
    <w:rsid w:val="7FF61D23"/>
    <w:rsid w:val="7FF6E7EB"/>
    <w:rsid w:val="7FF8C91F"/>
    <w:rsid w:val="7FFA35CA"/>
    <w:rsid w:val="7FFC96C3"/>
    <w:rsid w:val="7FFDD001"/>
    <w:rsid w:val="7FFE6017"/>
    <w:rsid w:val="7FFFDC54"/>
    <w:rsid w:val="7FFFF8AF"/>
    <w:rsid w:val="832FEA89"/>
    <w:rsid w:val="83A4C413"/>
    <w:rsid w:val="83AD63A9"/>
    <w:rsid w:val="84782153"/>
    <w:rsid w:val="8F9FF19D"/>
    <w:rsid w:val="8FEB2251"/>
    <w:rsid w:val="8FFBEA44"/>
    <w:rsid w:val="922E2303"/>
    <w:rsid w:val="973DCEAE"/>
    <w:rsid w:val="99C9553F"/>
    <w:rsid w:val="9DBFE2E2"/>
    <w:rsid w:val="9EBE367D"/>
    <w:rsid w:val="9FFC38F2"/>
    <w:rsid w:val="A778A993"/>
    <w:rsid w:val="A7D4CEBD"/>
    <w:rsid w:val="AABFF83E"/>
    <w:rsid w:val="AB5F07D3"/>
    <w:rsid w:val="ABF69F31"/>
    <w:rsid w:val="AC2B828F"/>
    <w:rsid w:val="ACFCAC64"/>
    <w:rsid w:val="ADBE63B5"/>
    <w:rsid w:val="AE7F8AC0"/>
    <w:rsid w:val="AED7FFDE"/>
    <w:rsid w:val="AEDFF87D"/>
    <w:rsid w:val="AF7BE53F"/>
    <w:rsid w:val="AFE3634B"/>
    <w:rsid w:val="B68D9C63"/>
    <w:rsid w:val="B6DBDC57"/>
    <w:rsid w:val="B7EF3C97"/>
    <w:rsid w:val="B7F3DC74"/>
    <w:rsid w:val="B8A6CCB4"/>
    <w:rsid w:val="B9DFAD8D"/>
    <w:rsid w:val="BAFB90D0"/>
    <w:rsid w:val="BB7EEF85"/>
    <w:rsid w:val="BBADDF07"/>
    <w:rsid w:val="BBFFB266"/>
    <w:rsid w:val="BD1F6BA7"/>
    <w:rsid w:val="BD3F2112"/>
    <w:rsid w:val="BE7ECAC8"/>
    <w:rsid w:val="BE7FED3E"/>
    <w:rsid w:val="BEEBAD76"/>
    <w:rsid w:val="BEF5AD0F"/>
    <w:rsid w:val="BF7E27ED"/>
    <w:rsid w:val="BF83014E"/>
    <w:rsid w:val="BFEEF3D8"/>
    <w:rsid w:val="BFFCAC13"/>
    <w:rsid w:val="BFFDD124"/>
    <w:rsid w:val="C5F4F99F"/>
    <w:rsid w:val="C5FD21DE"/>
    <w:rsid w:val="C69F23DE"/>
    <w:rsid w:val="C7F2443E"/>
    <w:rsid w:val="CDBBB555"/>
    <w:rsid w:val="CEB3CC6F"/>
    <w:rsid w:val="CFB78E31"/>
    <w:rsid w:val="CFBFA616"/>
    <w:rsid w:val="CFEEB9DE"/>
    <w:rsid w:val="CFF7F8B0"/>
    <w:rsid w:val="D2DDEFBE"/>
    <w:rsid w:val="D373C46A"/>
    <w:rsid w:val="D47E8A2D"/>
    <w:rsid w:val="D6BDF521"/>
    <w:rsid w:val="D79F3C9C"/>
    <w:rsid w:val="D7B3AA45"/>
    <w:rsid w:val="D7BB6FE3"/>
    <w:rsid w:val="D7F69F0E"/>
    <w:rsid w:val="D7FF876A"/>
    <w:rsid w:val="D7FFABE3"/>
    <w:rsid w:val="D98B2C40"/>
    <w:rsid w:val="DB4B2D7A"/>
    <w:rsid w:val="DBEFC7C1"/>
    <w:rsid w:val="DBFB8D2B"/>
    <w:rsid w:val="DBFBB9C0"/>
    <w:rsid w:val="DBFE2A44"/>
    <w:rsid w:val="DD7B1F25"/>
    <w:rsid w:val="DD863B93"/>
    <w:rsid w:val="DE0D646D"/>
    <w:rsid w:val="DEFF1468"/>
    <w:rsid w:val="DEFFE4CF"/>
    <w:rsid w:val="DFC7DF70"/>
    <w:rsid w:val="DFEF3B81"/>
    <w:rsid w:val="DFEFAC78"/>
    <w:rsid w:val="DFF7EEED"/>
    <w:rsid w:val="DFF7FFC5"/>
    <w:rsid w:val="DFFE028B"/>
    <w:rsid w:val="DFFF359C"/>
    <w:rsid w:val="E3BB100F"/>
    <w:rsid w:val="E3BFFDDA"/>
    <w:rsid w:val="E3DB5F2C"/>
    <w:rsid w:val="E43B5B8E"/>
    <w:rsid w:val="E5DB05A0"/>
    <w:rsid w:val="E5EEFECD"/>
    <w:rsid w:val="E5FB3CF2"/>
    <w:rsid w:val="E6FC6870"/>
    <w:rsid w:val="E6FFEB05"/>
    <w:rsid w:val="E7736DAA"/>
    <w:rsid w:val="E77FA867"/>
    <w:rsid w:val="E79FB5F1"/>
    <w:rsid w:val="E7DB937B"/>
    <w:rsid w:val="E7DD9908"/>
    <w:rsid w:val="E7FB73D8"/>
    <w:rsid w:val="E97EAC99"/>
    <w:rsid w:val="E9B87786"/>
    <w:rsid w:val="E9FB7894"/>
    <w:rsid w:val="EA1E3EE1"/>
    <w:rsid w:val="EB6F3FFD"/>
    <w:rsid w:val="EB7F0504"/>
    <w:rsid w:val="ED3F2010"/>
    <w:rsid w:val="EDEFB8D0"/>
    <w:rsid w:val="EDFCEAD6"/>
    <w:rsid w:val="EEB77BEF"/>
    <w:rsid w:val="EED3FF60"/>
    <w:rsid w:val="EEF5B080"/>
    <w:rsid w:val="EEFE096B"/>
    <w:rsid w:val="EF2ED0BC"/>
    <w:rsid w:val="EF5CAF4E"/>
    <w:rsid w:val="EF7F060A"/>
    <w:rsid w:val="EF7F19AA"/>
    <w:rsid w:val="EFDE39F5"/>
    <w:rsid w:val="EFF844BC"/>
    <w:rsid w:val="EFFB30A5"/>
    <w:rsid w:val="EFFB429E"/>
    <w:rsid w:val="EFFBC38F"/>
    <w:rsid w:val="EFFD60F8"/>
    <w:rsid w:val="EFFDBFE0"/>
    <w:rsid w:val="F0DF1C7E"/>
    <w:rsid w:val="F27A567D"/>
    <w:rsid w:val="F5DED34D"/>
    <w:rsid w:val="F5EF988A"/>
    <w:rsid w:val="F5FD6640"/>
    <w:rsid w:val="F5FEC3FF"/>
    <w:rsid w:val="F73FFDCA"/>
    <w:rsid w:val="F75489B8"/>
    <w:rsid w:val="F77A7575"/>
    <w:rsid w:val="F77FBF40"/>
    <w:rsid w:val="F7B325FB"/>
    <w:rsid w:val="F7BB0F5C"/>
    <w:rsid w:val="F7E7EE40"/>
    <w:rsid w:val="F7F32C63"/>
    <w:rsid w:val="F7F3CFC2"/>
    <w:rsid w:val="F7FC3F4C"/>
    <w:rsid w:val="F7FE810C"/>
    <w:rsid w:val="F8DF7939"/>
    <w:rsid w:val="F955BA63"/>
    <w:rsid w:val="F957CD05"/>
    <w:rsid w:val="F97E3D6E"/>
    <w:rsid w:val="F9CFEA30"/>
    <w:rsid w:val="F9F953E1"/>
    <w:rsid w:val="FA2FF860"/>
    <w:rsid w:val="FABB9C3A"/>
    <w:rsid w:val="FAE7EF4F"/>
    <w:rsid w:val="FB4F944D"/>
    <w:rsid w:val="FB4FB1E7"/>
    <w:rsid w:val="FB9B67CF"/>
    <w:rsid w:val="FBEF8455"/>
    <w:rsid w:val="FBF57D51"/>
    <w:rsid w:val="FBF7247D"/>
    <w:rsid w:val="FBF784AA"/>
    <w:rsid w:val="FBFFB891"/>
    <w:rsid w:val="FC771461"/>
    <w:rsid w:val="FC93A532"/>
    <w:rsid w:val="FCFD0779"/>
    <w:rsid w:val="FCFF7E1C"/>
    <w:rsid w:val="FD14BB76"/>
    <w:rsid w:val="FD5D7D5A"/>
    <w:rsid w:val="FD7F8765"/>
    <w:rsid w:val="FDA3D340"/>
    <w:rsid w:val="FDBFF1C2"/>
    <w:rsid w:val="FDED369E"/>
    <w:rsid w:val="FDEDE7FF"/>
    <w:rsid w:val="FE0FDA14"/>
    <w:rsid w:val="FE77D597"/>
    <w:rsid w:val="FE7FBDE0"/>
    <w:rsid w:val="FEDC33FB"/>
    <w:rsid w:val="FEDF4427"/>
    <w:rsid w:val="FEE994E8"/>
    <w:rsid w:val="FEFE83F3"/>
    <w:rsid w:val="FEFF1A64"/>
    <w:rsid w:val="FF2EF7FF"/>
    <w:rsid w:val="FF6FD8F2"/>
    <w:rsid w:val="FF7540D3"/>
    <w:rsid w:val="FF795883"/>
    <w:rsid w:val="FF87954C"/>
    <w:rsid w:val="FF893541"/>
    <w:rsid w:val="FFB7B0FF"/>
    <w:rsid w:val="FFBBCF6E"/>
    <w:rsid w:val="FFBC835C"/>
    <w:rsid w:val="FFBD2185"/>
    <w:rsid w:val="FFBEC32B"/>
    <w:rsid w:val="FFD3A618"/>
    <w:rsid w:val="FFD5C21C"/>
    <w:rsid w:val="FFDB8387"/>
    <w:rsid w:val="FFDD5F95"/>
    <w:rsid w:val="FFEB779C"/>
    <w:rsid w:val="FFEB7BB6"/>
    <w:rsid w:val="FFEF2335"/>
    <w:rsid w:val="FFF509F3"/>
    <w:rsid w:val="FFF9D4CE"/>
    <w:rsid w:val="FFFBBAB8"/>
    <w:rsid w:val="FFFDD838"/>
    <w:rsid w:val="FFFE325A"/>
    <w:rsid w:val="FFFE6C02"/>
    <w:rsid w:val="FFFF425F"/>
    <w:rsid w:val="FFFF4889"/>
    <w:rsid w:val="FFFF9450"/>
    <w:rsid w:val="FFFFBC92"/>
    <w:rsid w:val="FFFFFC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sz w:val="24"/>
      <w:szCs w:val="24"/>
      <w:lang w:val="en-US" w:eastAsia="zh-CN" w:bidi="ar-SA"/>
    </w:rPr>
  </w:style>
  <w:style w:type="paragraph" w:styleId="4">
    <w:name w:val="heading 2"/>
    <w:basedOn w:val="1"/>
    <w:next w:val="1"/>
    <w:qFormat/>
    <w:uiPriority w:val="0"/>
    <w:pPr>
      <w:keepNext/>
      <w:spacing w:before="240" w:after="60"/>
      <w:outlineLvl w:val="1"/>
    </w:pPr>
    <w:rPr>
      <w:rFonts w:ascii="Arial" w:hAnsi="Arial" w:cs="Arial"/>
      <w:b/>
      <w:bCs/>
      <w:i/>
      <w:iCs/>
      <w:sz w:val="28"/>
      <w:szCs w:val="28"/>
    </w:rPr>
  </w:style>
  <w:style w:type="paragraph" w:styleId="5">
    <w:name w:val="heading 3"/>
    <w:basedOn w:val="1"/>
    <w:next w:val="1"/>
    <w:qFormat/>
    <w:uiPriority w:val="0"/>
    <w:pPr>
      <w:keepNext/>
      <w:spacing w:before="240" w:after="60"/>
      <w:outlineLvl w:val="2"/>
    </w:pPr>
    <w:rPr>
      <w:rFonts w:ascii="Arial" w:hAnsi="Arial" w:cs="Arial"/>
      <w:b/>
      <w:bCs/>
      <w:sz w:val="26"/>
      <w:szCs w:val="26"/>
    </w:rPr>
  </w:style>
  <w:style w:type="character" w:default="1" w:styleId="12">
    <w:name w:val="Default Paragraph Font"/>
    <w:unhideWhenUsed/>
    <w:qFormat/>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640" w:firstLineChars="200"/>
    </w:pPr>
    <w:rPr>
      <w:rFonts w:ascii="仿宋_GB2312"/>
    </w:rPr>
  </w:style>
  <w:style w:type="paragraph" w:styleId="6">
    <w:name w:val="Balloon Text"/>
    <w:basedOn w:val="1"/>
    <w:link w:val="14"/>
    <w:uiPriority w:val="0"/>
    <w:rPr>
      <w:sz w:val="18"/>
      <w:szCs w:val="18"/>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qFormat/>
    <w:uiPriority w:val="0"/>
    <w:pPr>
      <w:spacing w:beforeAutospacing="1" w:afterAutospacing="1"/>
    </w:pPr>
  </w:style>
  <w:style w:type="table" w:styleId="11">
    <w:name w:val="Table Grid"/>
    <w:basedOn w:val="10"/>
    <w:qFormat/>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FF"/>
      <w:u w:val="single"/>
    </w:rPr>
  </w:style>
  <w:style w:type="character" w:customStyle="1" w:styleId="14">
    <w:name w:val="批注框文本 字符"/>
    <w:link w:val="6"/>
    <w:uiPriority w:val="0"/>
    <w:rPr>
      <w:sz w:val="18"/>
      <w:szCs w:val="18"/>
    </w:rPr>
  </w:style>
  <w:style w:type="paragraph" w:styleId="15">
    <w:name w:val="List Paragraph"/>
    <w:basedOn w:val="1"/>
    <w:qFormat/>
    <w:uiPriority w:val="34"/>
    <w:pPr>
      <w:widowControl w:val="0"/>
      <w:numPr>
        <w:ilvl w:val="0"/>
        <w:numId w:val="1"/>
      </w:numPr>
      <w:overflowPunct w:val="0"/>
      <w:spacing w:line="360" w:lineRule="auto"/>
      <w:jc w:val="both"/>
    </w:pPr>
  </w:style>
  <w:style w:type="character" w:customStyle="1" w:styleId="16">
    <w:name w:val="text_ygy9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2105</Words>
  <Characters>12004</Characters>
  <Lines>100</Lines>
  <Paragraphs>28</Paragraphs>
  <TotalTime>14</TotalTime>
  <ScaleCrop>false</ScaleCrop>
  <LinksUpToDate>false</LinksUpToDate>
  <CharactersWithSpaces>14081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2024-05-09T10:34:00Z</dcterms:created>
  <dc:creator>林大辉</dc:creator>
  <cp:lastModifiedBy>cuihg</cp:lastModifiedBy>
  <cp:lastPrinted>2024-07-30T08:49:13Z</cp:lastPrinted>
  <dcterms:modified xsi:type="dcterms:W3CDTF">2024-07-31T11:37:47Z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71077961C2B6423599F5C1C2907742E4_13</vt:lpwstr>
  </property>
</Properties>
</file>