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仿宋" w:hAnsi="仿宋" w:eastAsia="仿宋"/>
          <w:b/>
          <w:bCs/>
          <w:color w:val="000000"/>
          <w:sz w:val="36"/>
          <w:szCs w:val="36"/>
        </w:rPr>
      </w:pPr>
      <w:r>
        <w:rPr>
          <w:rFonts w:hint="eastAsia" w:ascii="仿宋" w:hAnsi="仿宋" w:eastAsia="仿宋"/>
          <w:b/>
          <w:bCs/>
          <w:color w:val="000000"/>
          <w:sz w:val="32"/>
          <w:szCs w:val="32"/>
        </w:rPr>
        <w:t>附件1</w:t>
      </w:r>
      <w:r>
        <w:rPr>
          <w:rFonts w:ascii="仿宋" w:hAnsi="仿宋" w:eastAsia="仿宋"/>
          <w:b/>
          <w:bCs/>
          <w:color w:val="000000"/>
          <w:sz w:val="32"/>
          <w:szCs w:val="32"/>
        </w:rPr>
        <w:t>：</w:t>
      </w:r>
    </w:p>
    <w:p>
      <w:pPr>
        <w:spacing w:before="156" w:beforeLines="50" w:after="156" w:afterLines="50"/>
        <w:jc w:val="center"/>
        <w:rPr>
          <w:rFonts w:ascii="仿宋" w:hAnsi="仿宋" w:eastAsia="仿宋"/>
          <w:b/>
          <w:bCs/>
          <w:color w:val="000000"/>
          <w:sz w:val="36"/>
          <w:szCs w:val="36"/>
        </w:rPr>
      </w:pPr>
      <w:r>
        <w:rPr>
          <w:rFonts w:ascii="仿宋" w:hAnsi="仿宋" w:eastAsia="仿宋"/>
          <w:b/>
          <w:bCs/>
          <w:color w:val="000000"/>
          <w:sz w:val="36"/>
          <w:szCs w:val="36"/>
        </w:rPr>
        <w:t>土地</w:t>
      </w:r>
      <w:bookmarkStart w:id="0" w:name="_GoBack"/>
      <w:bookmarkEnd w:id="0"/>
      <w:r>
        <w:rPr>
          <w:rFonts w:ascii="仿宋" w:hAnsi="仿宋" w:eastAsia="仿宋"/>
          <w:b/>
          <w:bCs/>
          <w:color w:val="000000"/>
          <w:sz w:val="36"/>
          <w:szCs w:val="36"/>
        </w:rPr>
        <w:t>增值税清算鉴证报告</w:t>
      </w:r>
    </w:p>
    <w:p>
      <w:pPr>
        <w:spacing w:before="156" w:beforeLines="50" w:after="156" w:afterLines="50"/>
        <w:jc w:val="center"/>
        <w:rPr>
          <w:rFonts w:ascii="仿宋" w:hAnsi="仿宋" w:eastAsia="仿宋"/>
          <w:b/>
          <w:bCs/>
          <w:color w:val="000000"/>
          <w:sz w:val="36"/>
          <w:szCs w:val="36"/>
        </w:rPr>
      </w:pPr>
      <w:r>
        <w:rPr>
          <w:rFonts w:ascii="仿宋" w:hAnsi="仿宋" w:eastAsia="仿宋"/>
          <w:b/>
          <w:bCs/>
          <w:color w:val="000000"/>
          <w:sz w:val="36"/>
          <w:szCs w:val="36"/>
        </w:rPr>
        <w:t>（参考文本）</w:t>
      </w:r>
    </w:p>
    <w:p>
      <w:pPr>
        <w:adjustRightInd w:val="0"/>
        <w:spacing w:before="156" w:beforeLines="50" w:after="156" w:afterLines="50"/>
        <w:ind w:right="1080" w:firstLine="640" w:firstLineChars="200"/>
        <w:jc w:val="right"/>
        <w:rPr>
          <w:rFonts w:ascii="仿宋" w:hAnsi="仿宋" w:eastAsia="仿宋"/>
          <w:sz w:val="32"/>
          <w:szCs w:val="32"/>
        </w:rPr>
      </w:pPr>
      <w:r>
        <w:rPr>
          <w:rFonts w:hint="eastAsia" w:ascii="仿宋" w:hAnsi="仿宋" w:eastAsia="仿宋"/>
          <w:sz w:val="32"/>
          <w:szCs w:val="32"/>
        </w:rPr>
        <w:t>报告号：</w:t>
      </w:r>
    </w:p>
    <w:p>
      <w:pPr>
        <w:adjustRightInd w:val="0"/>
        <w:spacing w:before="156" w:beforeLines="50" w:after="156" w:afterLines="50"/>
        <w:ind w:right="1080" w:firstLine="640" w:firstLineChars="200"/>
        <w:jc w:val="right"/>
        <w:rPr>
          <w:rFonts w:ascii="仿宋" w:hAnsi="仿宋" w:eastAsia="仿宋"/>
          <w:sz w:val="32"/>
          <w:szCs w:val="32"/>
        </w:rPr>
      </w:pPr>
      <w:r>
        <w:rPr>
          <w:rFonts w:hint="eastAsia" w:ascii="仿宋" w:hAnsi="仿宋" w:eastAsia="仿宋"/>
          <w:sz w:val="32"/>
          <w:szCs w:val="32"/>
        </w:rPr>
        <w:t>备案号：</w:t>
      </w:r>
    </w:p>
    <w:p>
      <w:pPr>
        <w:adjustRightInd w:val="0"/>
        <w:spacing w:before="156" w:beforeLines="50" w:after="156" w:afterLines="50"/>
        <w:rPr>
          <w:rFonts w:ascii="仿宋" w:hAnsi="仿宋" w:eastAsia="仿宋"/>
          <w:sz w:val="32"/>
          <w:szCs w:val="32"/>
        </w:rPr>
      </w:pPr>
      <w:r>
        <w:rPr>
          <w:rFonts w:ascii="仿宋" w:hAnsi="仿宋" w:eastAsia="仿宋"/>
          <w:sz w:val="32"/>
          <w:szCs w:val="32"/>
        </w:rPr>
        <w:t>________</w:t>
      </w:r>
      <w:r>
        <w:rPr>
          <w:rFonts w:hint="eastAsia" w:ascii="仿宋" w:hAnsi="仿宋" w:eastAsia="仿宋"/>
          <w:sz w:val="32"/>
          <w:szCs w:val="32"/>
        </w:rPr>
        <w:t>：</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我们接受委托，对</w:t>
      </w:r>
      <w:r>
        <w:rPr>
          <w:rFonts w:hint="eastAsia" w:ascii="仿宋" w:hAnsi="仿宋" w:eastAsia="仿宋"/>
          <w:color w:val="000000"/>
          <w:sz w:val="32"/>
          <w:szCs w:val="32"/>
        </w:rPr>
        <w:t>____ （以下简称被鉴证人）____</w:t>
      </w:r>
      <w:r>
        <w:rPr>
          <w:rFonts w:ascii="仿宋" w:hAnsi="仿宋" w:eastAsia="仿宋"/>
          <w:color w:val="000000"/>
          <w:sz w:val="32"/>
          <w:szCs w:val="32"/>
        </w:rPr>
        <w:t>（项目）土地增值税清算税款申报进行鉴证审核。</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被鉴证人的责任</w:t>
      </w:r>
      <w:r>
        <w:rPr>
          <w:rFonts w:hint="eastAsia" w:ascii="仿宋" w:hAnsi="仿宋" w:eastAsia="仿宋"/>
          <w:color w:val="000000"/>
          <w:sz w:val="32"/>
          <w:szCs w:val="32"/>
        </w:rPr>
        <w:t>是及时提供与</w:t>
      </w:r>
      <w:r>
        <w:rPr>
          <w:rFonts w:ascii="仿宋" w:hAnsi="仿宋" w:eastAsia="仿宋"/>
          <w:color w:val="000000"/>
          <w:sz w:val="32"/>
          <w:szCs w:val="32"/>
        </w:rPr>
        <w:t>土地增值税清算税款相关的会计资料及证明材料</w:t>
      </w:r>
      <w:r>
        <w:rPr>
          <w:rFonts w:hint="eastAsia" w:ascii="仿宋" w:hAnsi="仿宋" w:eastAsia="仿宋"/>
          <w:color w:val="000000"/>
          <w:sz w:val="32"/>
          <w:szCs w:val="32"/>
        </w:rPr>
        <w:t>，并保证其</w:t>
      </w:r>
      <w:r>
        <w:rPr>
          <w:rFonts w:ascii="仿宋" w:hAnsi="仿宋" w:eastAsia="仿宋"/>
          <w:color w:val="000000"/>
          <w:sz w:val="32"/>
          <w:szCs w:val="32"/>
        </w:rPr>
        <w:t>真实、</w:t>
      </w:r>
      <w:r>
        <w:rPr>
          <w:rFonts w:hint="eastAsia" w:ascii="仿宋" w:hAnsi="仿宋" w:eastAsia="仿宋"/>
          <w:color w:val="000000"/>
          <w:sz w:val="32"/>
          <w:szCs w:val="32"/>
        </w:rPr>
        <w:t>准确、</w:t>
      </w:r>
      <w:r>
        <w:rPr>
          <w:rFonts w:ascii="仿宋" w:hAnsi="仿宋" w:eastAsia="仿宋"/>
          <w:color w:val="000000"/>
          <w:sz w:val="32"/>
          <w:szCs w:val="32"/>
        </w:rPr>
        <w:t>完整</w:t>
      </w:r>
      <w:r>
        <w:rPr>
          <w:rFonts w:hint="eastAsia" w:ascii="仿宋" w:hAnsi="仿宋" w:eastAsia="仿宋"/>
          <w:color w:val="000000"/>
          <w:sz w:val="32"/>
          <w:szCs w:val="32"/>
        </w:rPr>
        <w:t>和</w:t>
      </w:r>
      <w:r>
        <w:rPr>
          <w:rFonts w:ascii="仿宋" w:hAnsi="仿宋" w:eastAsia="仿宋"/>
          <w:color w:val="000000"/>
          <w:sz w:val="32"/>
          <w:szCs w:val="32"/>
        </w:rPr>
        <w:t>合法</w:t>
      </w:r>
      <w:r>
        <w:rPr>
          <w:rFonts w:hint="eastAsia" w:ascii="仿宋" w:hAnsi="仿宋" w:eastAsia="仿宋"/>
          <w:color w:val="000000"/>
          <w:sz w:val="32"/>
          <w:szCs w:val="32"/>
        </w:rPr>
        <w:t>。确保</w:t>
      </w:r>
      <w:r>
        <w:rPr>
          <w:rFonts w:ascii="仿宋" w:hAnsi="仿宋" w:eastAsia="仿宋"/>
          <w:color w:val="000000"/>
          <w:sz w:val="32"/>
          <w:szCs w:val="32"/>
        </w:rPr>
        <w:t>被鉴证人</w:t>
      </w:r>
      <w:r>
        <w:rPr>
          <w:rFonts w:hint="eastAsia" w:ascii="仿宋" w:hAnsi="仿宋" w:eastAsia="仿宋"/>
          <w:color w:val="000000"/>
          <w:sz w:val="32"/>
          <w:szCs w:val="32"/>
        </w:rPr>
        <w:t>填报的土地增值税</w:t>
      </w:r>
      <w:r>
        <w:rPr>
          <w:rFonts w:ascii="仿宋" w:hAnsi="仿宋" w:eastAsia="仿宋"/>
          <w:color w:val="000000"/>
          <w:sz w:val="32"/>
          <w:szCs w:val="32"/>
        </w:rPr>
        <w:t>纳税</w:t>
      </w:r>
      <w:r>
        <w:rPr>
          <w:rFonts w:hint="eastAsia" w:ascii="仿宋" w:hAnsi="仿宋" w:eastAsia="仿宋"/>
          <w:color w:val="000000"/>
          <w:sz w:val="32"/>
          <w:szCs w:val="32"/>
        </w:rPr>
        <w:t>申报表及附表符合《</w:t>
      </w:r>
      <w:r>
        <w:rPr>
          <w:rFonts w:ascii="仿宋" w:hAnsi="仿宋" w:eastAsia="仿宋"/>
          <w:color w:val="000000"/>
          <w:sz w:val="32"/>
          <w:szCs w:val="32"/>
        </w:rPr>
        <w:t>中华人民共和国土地增值税暂行条例》及其实施细则</w:t>
      </w:r>
      <w:r>
        <w:rPr>
          <w:rFonts w:hint="eastAsia" w:ascii="仿宋" w:hAnsi="仿宋" w:eastAsia="仿宋"/>
          <w:color w:val="000000"/>
          <w:sz w:val="32"/>
          <w:szCs w:val="32"/>
          <w:lang w:eastAsia="zh-CN"/>
        </w:rPr>
        <w:t>、</w:t>
      </w:r>
      <w:r>
        <w:rPr>
          <w:rFonts w:ascii="仿宋" w:hAnsi="仿宋" w:eastAsia="仿宋"/>
          <w:color w:val="000000"/>
          <w:sz w:val="32"/>
          <w:szCs w:val="32"/>
        </w:rPr>
        <w:t>《国家税务总局关于印发〈土地增值税清算管理规程〉的通知》（国税发〔2009〕 91 号）和</w:t>
      </w:r>
      <w:r>
        <w:rPr>
          <w:rFonts w:hint="eastAsia" w:ascii="仿宋" w:hAnsi="仿宋" w:eastAsia="仿宋"/>
          <w:color w:val="000000"/>
          <w:sz w:val="32"/>
          <w:szCs w:val="32"/>
        </w:rPr>
        <w:t>其他土地增值税税法收律、法规和规范的要求，并如实纳税申报。</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我们的责任是</w:t>
      </w:r>
      <w:r>
        <w:rPr>
          <w:rFonts w:hint="eastAsia" w:ascii="仿宋" w:hAnsi="仿宋" w:eastAsia="仿宋"/>
          <w:color w:val="000000"/>
          <w:sz w:val="32"/>
          <w:szCs w:val="32"/>
        </w:rPr>
        <w:t>本着独立、客观、公正的原则，</w:t>
      </w:r>
      <w:r>
        <w:rPr>
          <w:rFonts w:ascii="仿宋" w:hAnsi="仿宋" w:eastAsia="仿宋"/>
          <w:color w:val="000000"/>
          <w:sz w:val="32"/>
          <w:szCs w:val="32"/>
        </w:rPr>
        <w:t>按照国家</w:t>
      </w:r>
      <w:r>
        <w:rPr>
          <w:rFonts w:hint="eastAsia" w:ascii="仿宋" w:hAnsi="仿宋" w:eastAsia="仿宋"/>
          <w:color w:val="000000"/>
          <w:sz w:val="32"/>
          <w:szCs w:val="32"/>
        </w:rPr>
        <w:t>税收</w:t>
      </w:r>
      <w:r>
        <w:rPr>
          <w:rFonts w:ascii="仿宋" w:hAnsi="仿宋" w:eastAsia="仿宋"/>
          <w:color w:val="000000"/>
          <w:sz w:val="32"/>
          <w:szCs w:val="32"/>
        </w:rPr>
        <w:t>法律法规及有关规定，</w:t>
      </w:r>
      <w:r>
        <w:rPr>
          <w:rFonts w:hint="eastAsia" w:ascii="仿宋" w:hAnsi="仿宋" w:eastAsia="仿宋"/>
          <w:color w:val="000000"/>
          <w:sz w:val="32"/>
          <w:szCs w:val="32"/>
        </w:rPr>
        <w:t>并遵循中国注册税务师协会《税务师行业涉税专业服务规范基本指引（试行）》《涉税鉴证业务指引（试行）》及《土地增值税清算鉴证业务指引（试行）》等执业规范要求，</w:t>
      </w:r>
      <w:r>
        <w:rPr>
          <w:rFonts w:ascii="仿宋" w:hAnsi="仿宋" w:eastAsia="仿宋"/>
          <w:color w:val="000000"/>
          <w:sz w:val="32"/>
          <w:szCs w:val="32"/>
        </w:rPr>
        <w:t>对</w:t>
      </w:r>
      <w:r>
        <w:rPr>
          <w:rFonts w:hint="eastAsia" w:ascii="仿宋" w:hAnsi="仿宋" w:eastAsia="仿宋"/>
          <w:color w:val="000000"/>
          <w:sz w:val="32"/>
          <w:szCs w:val="32"/>
        </w:rPr>
        <w:t>被鉴证人____</w:t>
      </w:r>
      <w:r>
        <w:rPr>
          <w:rFonts w:ascii="仿宋" w:hAnsi="仿宋" w:eastAsia="仿宋"/>
          <w:color w:val="000000"/>
          <w:sz w:val="32"/>
          <w:szCs w:val="32"/>
        </w:rPr>
        <w:t>（项目）</w:t>
      </w:r>
      <w:r>
        <w:rPr>
          <w:rFonts w:hint="eastAsia" w:ascii="仿宋" w:hAnsi="仿宋" w:eastAsia="仿宋"/>
          <w:color w:val="000000"/>
          <w:sz w:val="32"/>
          <w:szCs w:val="32"/>
        </w:rPr>
        <w:t>土地</w:t>
      </w:r>
      <w:r>
        <w:rPr>
          <w:rFonts w:ascii="仿宋" w:hAnsi="仿宋" w:eastAsia="仿宋"/>
          <w:color w:val="000000"/>
          <w:sz w:val="32"/>
          <w:szCs w:val="32"/>
        </w:rPr>
        <w:t>增值税纳税申报表及其有关资料的真实性</w:t>
      </w:r>
      <w:r>
        <w:rPr>
          <w:rFonts w:hint="eastAsia" w:ascii="仿宋" w:hAnsi="仿宋" w:eastAsia="仿宋"/>
          <w:color w:val="000000"/>
          <w:sz w:val="32"/>
          <w:szCs w:val="32"/>
        </w:rPr>
        <w:t>、</w:t>
      </w:r>
      <w:r>
        <w:rPr>
          <w:rFonts w:ascii="仿宋" w:hAnsi="仿宋" w:eastAsia="仿宋"/>
          <w:color w:val="000000"/>
          <w:sz w:val="32"/>
          <w:szCs w:val="32"/>
        </w:rPr>
        <w:t>准确性</w:t>
      </w:r>
      <w:r>
        <w:rPr>
          <w:rFonts w:hint="eastAsia" w:ascii="仿宋" w:hAnsi="仿宋" w:eastAsia="仿宋"/>
          <w:color w:val="000000"/>
          <w:sz w:val="32"/>
          <w:szCs w:val="32"/>
        </w:rPr>
        <w:t>实施鉴证</w:t>
      </w:r>
      <w:r>
        <w:rPr>
          <w:rFonts w:ascii="仿宋" w:hAnsi="仿宋" w:eastAsia="仿宋"/>
          <w:color w:val="000000"/>
          <w:sz w:val="32"/>
          <w:szCs w:val="32"/>
        </w:rPr>
        <w:t>，</w:t>
      </w:r>
      <w:r>
        <w:rPr>
          <w:rFonts w:hint="eastAsia" w:ascii="仿宋" w:hAnsi="仿宋" w:eastAsia="仿宋"/>
          <w:color w:val="000000"/>
          <w:sz w:val="32"/>
          <w:szCs w:val="32"/>
        </w:rPr>
        <w:t>并发表鉴证意见</w:t>
      </w:r>
      <w:r>
        <w:rPr>
          <w:rFonts w:ascii="仿宋" w:hAnsi="仿宋" w:eastAsia="仿宋"/>
          <w:color w:val="000000"/>
          <w:sz w:val="32"/>
          <w:szCs w:val="32"/>
        </w:rPr>
        <w:t>。</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在</w:t>
      </w:r>
      <w:r>
        <w:rPr>
          <w:rFonts w:hint="eastAsia" w:ascii="仿宋" w:hAnsi="仿宋" w:eastAsia="仿宋"/>
          <w:color w:val="000000"/>
          <w:sz w:val="32"/>
          <w:szCs w:val="32"/>
        </w:rPr>
        <w:t>鉴证</w:t>
      </w:r>
      <w:r>
        <w:rPr>
          <w:rFonts w:ascii="仿宋" w:hAnsi="仿宋" w:eastAsia="仿宋"/>
          <w:color w:val="000000"/>
          <w:sz w:val="32"/>
          <w:szCs w:val="32"/>
        </w:rPr>
        <w:t>过程中，</w:t>
      </w:r>
      <w:r>
        <w:rPr>
          <w:rFonts w:hint="eastAsia" w:ascii="仿宋" w:hAnsi="仿宋" w:eastAsia="仿宋"/>
          <w:color w:val="000000"/>
          <w:sz w:val="32"/>
          <w:szCs w:val="32"/>
        </w:rPr>
        <w:t>我们考虑了与土地增值税清算相关的鉴证材料的证据资格和证明能力，对被鉴证人提供的会计资料及纳税资料等实施了审核、验证、计算和职业</w:t>
      </w:r>
      <w:r>
        <w:rPr>
          <w:rFonts w:hint="eastAsia" w:ascii="仿宋" w:hAnsi="仿宋" w:eastAsia="仿宋"/>
          <w:color w:val="000000"/>
          <w:sz w:val="32"/>
          <w:szCs w:val="32"/>
          <w:lang w:val="en-US" w:eastAsia="zh-CN"/>
        </w:rPr>
        <w:t>判</w:t>
      </w:r>
      <w:r>
        <w:rPr>
          <w:rFonts w:hint="eastAsia" w:ascii="仿宋" w:hAnsi="仿宋" w:eastAsia="仿宋"/>
          <w:color w:val="000000"/>
          <w:sz w:val="32"/>
          <w:szCs w:val="32"/>
        </w:rPr>
        <w:t>断等必要的鉴证程序。现将鉴证结果报告如下：</w:t>
      </w:r>
    </w:p>
    <w:p>
      <w:pPr>
        <w:spacing w:before="156" w:beforeLines="50" w:after="156" w:afterLines="50"/>
        <w:rPr>
          <w:rFonts w:ascii="仿宋" w:hAnsi="仿宋" w:eastAsia="仿宋"/>
          <w:b/>
          <w:bCs/>
          <w:color w:val="000000"/>
          <w:sz w:val="32"/>
          <w:szCs w:val="32"/>
        </w:rPr>
      </w:pPr>
      <w:r>
        <w:rPr>
          <w:rFonts w:ascii="Calibri" w:hAnsi="Calibri" w:eastAsia="仿宋" w:cs="Calibri"/>
          <w:color w:val="000000"/>
          <w:sz w:val="32"/>
          <w:szCs w:val="32"/>
        </w:rPr>
        <w:t> </w:t>
      </w:r>
      <w:r>
        <w:rPr>
          <w:rFonts w:hint="eastAsia" w:ascii="Calibri" w:hAnsi="Calibri" w:eastAsia="仿宋" w:cs="Calibri"/>
          <w:color w:val="000000"/>
          <w:sz w:val="32"/>
          <w:szCs w:val="32"/>
        </w:rPr>
        <w:t xml:space="preserve">   </w:t>
      </w:r>
      <w:r>
        <w:rPr>
          <w:rFonts w:hint="eastAsia" w:ascii="Calibri" w:hAnsi="Calibri" w:eastAsia="仿宋" w:cs="Calibri"/>
          <w:b/>
          <w:bCs/>
          <w:color w:val="000000"/>
          <w:sz w:val="32"/>
          <w:szCs w:val="32"/>
        </w:rPr>
        <w:t xml:space="preserve"> </w:t>
      </w:r>
      <w:r>
        <w:rPr>
          <w:rFonts w:hint="eastAsia" w:ascii="仿宋" w:hAnsi="仿宋" w:eastAsia="仿宋"/>
          <w:b/>
          <w:bCs/>
          <w:color w:val="000000"/>
          <w:sz w:val="32"/>
          <w:szCs w:val="32"/>
        </w:rPr>
        <w:t>一、土地增值税清算税款申报的审核过程及主要实施情况</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（主要披露以下内容）</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（一）简要评述与土地增值税清算税款有关的内部控制及其有效性。</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（二）简要评述与土地增值税清算税款有关的各项内部证据和外部证据的相关性和可靠性。</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（三）简要陈述对纳税人提供的会计资料及纳税资料等进行审核、验证、计算和进行职业推断的情况。</w:t>
      </w:r>
    </w:p>
    <w:p>
      <w:pPr>
        <w:spacing w:before="156" w:beforeLines="50" w:after="156" w:afterLines="50"/>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二、鉴证结论</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经对被鉴证单位____</w:t>
      </w:r>
      <w:r>
        <w:rPr>
          <w:rFonts w:ascii="仿宋" w:hAnsi="仿宋" w:eastAsia="仿宋"/>
          <w:color w:val="000000"/>
          <w:sz w:val="32"/>
          <w:szCs w:val="32"/>
        </w:rPr>
        <w:t>（项目）</w:t>
      </w:r>
      <w:r>
        <w:rPr>
          <w:rFonts w:hint="eastAsia" w:ascii="仿宋" w:hAnsi="仿宋" w:eastAsia="仿宋"/>
          <w:color w:val="000000"/>
          <w:sz w:val="32"/>
          <w:szCs w:val="32"/>
        </w:rPr>
        <w:t>土地增值税清算事项进行鉴证，我们认为，本报告后附的《土地增值税</w:t>
      </w:r>
      <w:r>
        <w:rPr>
          <w:rFonts w:ascii="仿宋" w:hAnsi="仿宋" w:eastAsia="仿宋"/>
          <w:color w:val="000000"/>
          <w:sz w:val="32"/>
          <w:szCs w:val="32"/>
        </w:rPr>
        <w:t>纳税</w:t>
      </w:r>
      <w:r>
        <w:rPr>
          <w:rFonts w:hint="eastAsia" w:ascii="仿宋" w:hAnsi="仿宋" w:eastAsia="仿宋"/>
          <w:color w:val="000000"/>
          <w:sz w:val="32"/>
          <w:szCs w:val="32"/>
        </w:rPr>
        <w:t>申报表》及其附表已按照《</w:t>
      </w:r>
      <w:r>
        <w:rPr>
          <w:rFonts w:ascii="仿宋" w:hAnsi="仿宋" w:eastAsia="仿宋"/>
          <w:color w:val="000000"/>
          <w:sz w:val="32"/>
          <w:szCs w:val="32"/>
        </w:rPr>
        <w:t>中华人民共和国土地增值税暂行条例》及其实施细则</w:t>
      </w:r>
      <w:r>
        <w:rPr>
          <w:rFonts w:hint="eastAsia" w:ascii="仿宋" w:hAnsi="仿宋" w:eastAsia="仿宋"/>
          <w:color w:val="000000"/>
          <w:sz w:val="32"/>
          <w:szCs w:val="32"/>
        </w:rPr>
        <w:t>等相关规定填报，在所有重大方面真实、准确、完整地反映了被鉴证单位____</w:t>
      </w:r>
      <w:r>
        <w:rPr>
          <w:rFonts w:ascii="仿宋" w:hAnsi="仿宋" w:eastAsia="仿宋"/>
          <w:color w:val="000000"/>
          <w:sz w:val="32"/>
          <w:szCs w:val="32"/>
        </w:rPr>
        <w:t>（项目）</w:t>
      </w:r>
      <w:r>
        <w:rPr>
          <w:rFonts w:hint="eastAsia" w:ascii="仿宋" w:hAnsi="仿宋" w:eastAsia="仿宋"/>
          <w:color w:val="000000"/>
          <w:sz w:val="32"/>
          <w:szCs w:val="32"/>
        </w:rPr>
        <w:t>土地增值税清算申报情况，我们确认：</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1.收入总额：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元；</w:t>
      </w:r>
    </w:p>
    <w:p>
      <w:pPr>
        <w:spacing w:before="156" w:beforeLines="50" w:after="156" w:afterLines="50"/>
        <w:rPr>
          <w:rFonts w:ascii="仿宋" w:hAnsi="仿宋" w:eastAsia="仿宋"/>
          <w:color w:val="000000"/>
          <w:sz w:val="32"/>
          <w:szCs w:val="32"/>
        </w:rPr>
      </w:pPr>
      <w:r>
        <w:rPr>
          <w:rFonts w:ascii="仿宋" w:hAnsi="仿宋" w:eastAsia="仿宋"/>
          <w:color w:val="000000"/>
          <w:sz w:val="32"/>
          <w:szCs w:val="32"/>
        </w:rPr>
        <w:t xml:space="preserve">    2.扣除项目金额：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元；</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3.增值额：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元；</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其中：普通住宅增值额：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元；</w:t>
      </w:r>
    </w:p>
    <w:p>
      <w:pPr>
        <w:spacing w:before="156" w:beforeLines="50" w:after="156" w:afterLines="50"/>
        <w:ind w:firstLine="492"/>
        <w:rPr>
          <w:rFonts w:ascii="仿宋" w:hAnsi="仿宋" w:eastAsia="仿宋"/>
          <w:color w:val="000000"/>
          <w:sz w:val="32"/>
          <w:szCs w:val="32"/>
        </w:rPr>
      </w:pPr>
      <w:r>
        <w:rPr>
          <w:rFonts w:hint="eastAsia" w:ascii="仿宋" w:hAnsi="仿宋" w:eastAsia="仿宋"/>
          <w:color w:val="000000"/>
          <w:sz w:val="32"/>
          <w:szCs w:val="32"/>
        </w:rPr>
        <w:t>非普通住宅增值额：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元；</w:t>
      </w:r>
    </w:p>
    <w:p>
      <w:pPr>
        <w:spacing w:before="156" w:beforeLines="50" w:after="156" w:afterLines="50"/>
        <w:ind w:firstLine="492"/>
        <w:rPr>
          <w:rFonts w:ascii="仿宋" w:hAnsi="仿宋" w:eastAsia="仿宋"/>
          <w:color w:val="000000"/>
          <w:sz w:val="32"/>
          <w:szCs w:val="32"/>
        </w:rPr>
      </w:pPr>
      <w:r>
        <w:rPr>
          <w:rFonts w:hint="eastAsia" w:ascii="仿宋" w:hAnsi="仿宋" w:eastAsia="仿宋"/>
          <w:color w:val="000000"/>
          <w:sz w:val="32"/>
          <w:szCs w:val="32"/>
        </w:rPr>
        <w:t>其他类型房地产增值额：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元；</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 xml:space="preserve">4.增值率（增值额与扣除金额之比）：        </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其中：普通住宅增值率：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ind w:firstLine="1708" w:firstLineChars="534"/>
        <w:rPr>
          <w:rFonts w:ascii="仿宋" w:hAnsi="仿宋" w:eastAsia="仿宋"/>
          <w:color w:val="000000"/>
          <w:sz w:val="32"/>
          <w:szCs w:val="32"/>
        </w:rPr>
      </w:pPr>
      <w:r>
        <w:rPr>
          <w:rFonts w:hint="eastAsia" w:ascii="仿宋" w:hAnsi="仿宋" w:eastAsia="仿宋"/>
          <w:color w:val="000000"/>
          <w:sz w:val="32"/>
          <w:szCs w:val="32"/>
        </w:rPr>
        <w:t>非普通住宅增值率：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ind w:firstLine="1708" w:firstLineChars="534"/>
        <w:rPr>
          <w:rFonts w:ascii="仿宋" w:hAnsi="仿宋" w:eastAsia="仿宋"/>
          <w:color w:val="000000"/>
          <w:sz w:val="32"/>
          <w:szCs w:val="32"/>
        </w:rPr>
      </w:pPr>
      <w:r>
        <w:rPr>
          <w:rFonts w:hint="eastAsia" w:ascii="仿宋" w:hAnsi="仿宋" w:eastAsia="仿宋"/>
          <w:color w:val="000000"/>
          <w:sz w:val="32"/>
          <w:szCs w:val="32"/>
        </w:rPr>
        <w:t>其他类型房地产增值率：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 xml:space="preserve">5.适用税率：        </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其中：普通住宅适用税率：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ind w:firstLine="1708" w:firstLineChars="534"/>
        <w:rPr>
          <w:rFonts w:ascii="仿宋" w:hAnsi="仿宋" w:eastAsia="仿宋"/>
          <w:color w:val="000000"/>
          <w:sz w:val="32"/>
          <w:szCs w:val="32"/>
        </w:rPr>
      </w:pPr>
      <w:r>
        <w:rPr>
          <w:rFonts w:hint="eastAsia" w:ascii="仿宋" w:hAnsi="仿宋" w:eastAsia="仿宋"/>
          <w:color w:val="000000"/>
          <w:sz w:val="32"/>
          <w:szCs w:val="32"/>
        </w:rPr>
        <w:t>非普通住宅适用税率：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ind w:firstLine="1708" w:firstLineChars="534"/>
        <w:rPr>
          <w:rFonts w:ascii="仿宋" w:hAnsi="仿宋" w:eastAsia="仿宋"/>
          <w:color w:val="000000"/>
          <w:sz w:val="32"/>
          <w:szCs w:val="32"/>
        </w:rPr>
      </w:pPr>
      <w:r>
        <w:rPr>
          <w:rFonts w:hint="eastAsia" w:ascii="仿宋" w:hAnsi="仿宋" w:eastAsia="仿宋"/>
          <w:color w:val="000000"/>
          <w:sz w:val="32"/>
          <w:szCs w:val="32"/>
        </w:rPr>
        <w:t>其他类型房地产适用税率：</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w:t>
      </w:r>
    </w:p>
    <w:p>
      <w:pPr>
        <w:spacing w:before="156" w:beforeLines="50" w:after="156" w:afterLines="50"/>
        <w:rPr>
          <w:rFonts w:ascii="仿宋" w:hAnsi="仿宋" w:eastAsia="仿宋"/>
          <w:color w:val="000000"/>
          <w:sz w:val="32"/>
          <w:szCs w:val="32"/>
        </w:rPr>
      </w:pPr>
      <w:r>
        <w:rPr>
          <w:rFonts w:ascii="仿宋" w:hAnsi="仿宋" w:eastAsia="仿宋"/>
          <w:color w:val="000000"/>
          <w:sz w:val="32"/>
          <w:szCs w:val="32"/>
        </w:rPr>
        <w:t xml:space="preserve">    6.应缴土地增值税税额：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 xml:space="preserve"> 元；</w:t>
      </w:r>
    </w:p>
    <w:p>
      <w:pPr>
        <w:spacing w:before="156" w:beforeLines="50" w:after="156" w:afterLines="50"/>
        <w:rPr>
          <w:rFonts w:ascii="仿宋" w:hAnsi="仿宋" w:eastAsia="仿宋"/>
          <w:color w:val="000000"/>
          <w:sz w:val="32"/>
          <w:szCs w:val="32"/>
        </w:rPr>
      </w:pPr>
      <w:r>
        <w:rPr>
          <w:rFonts w:ascii="仿宋" w:hAnsi="仿宋" w:eastAsia="仿宋"/>
          <w:color w:val="000000"/>
          <w:sz w:val="32"/>
          <w:szCs w:val="32"/>
        </w:rPr>
        <w:t xml:space="preserve">    7.已缴土地增值税税额： </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元；</w:t>
      </w:r>
    </w:p>
    <w:p>
      <w:pPr>
        <w:spacing w:before="156" w:beforeLines="50" w:after="156" w:afterLines="50"/>
        <w:rPr>
          <w:rFonts w:ascii="仿宋" w:hAnsi="仿宋" w:eastAsia="仿宋"/>
          <w:color w:val="000000"/>
          <w:sz w:val="32"/>
          <w:szCs w:val="32"/>
        </w:rPr>
      </w:pPr>
      <w:r>
        <w:rPr>
          <w:rFonts w:ascii="仿宋" w:hAnsi="仿宋" w:eastAsia="仿宋"/>
          <w:color w:val="000000"/>
          <w:sz w:val="32"/>
          <w:szCs w:val="32"/>
        </w:rPr>
        <w:t xml:space="preserve">    8.应补（退）缴土地增值税税额：</w:t>
      </w:r>
      <w:r>
        <w:rPr>
          <w:rFonts w:hint="eastAsia" w:ascii="仿宋" w:hAnsi="仿宋" w:eastAsia="仿宋" w:cs="宋体"/>
          <w:color w:val="000000"/>
          <w:kern w:val="0"/>
          <w:sz w:val="32"/>
          <w:szCs w:val="32"/>
          <w:lang w:val="en-US" w:eastAsia="zh-CN"/>
        </w:rPr>
        <w:t>____</w:t>
      </w:r>
      <w:r>
        <w:rPr>
          <w:rFonts w:ascii="仿宋" w:hAnsi="仿宋" w:eastAsia="仿宋"/>
          <w:color w:val="000000"/>
          <w:sz w:val="32"/>
          <w:szCs w:val="32"/>
        </w:rPr>
        <w:t>元。</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清算事项的具体情况详见</w:t>
      </w:r>
      <w:r>
        <w:rPr>
          <w:rFonts w:hint="eastAsia" w:ascii="仿宋" w:hAnsi="仿宋" w:eastAsia="仿宋"/>
          <w:color w:val="000000"/>
          <w:sz w:val="32"/>
          <w:szCs w:val="32"/>
        </w:rPr>
        <w:t>附送资料</w:t>
      </w:r>
      <w:r>
        <w:rPr>
          <w:rFonts w:ascii="仿宋" w:hAnsi="仿宋" w:eastAsia="仿宋"/>
          <w:color w:val="000000"/>
          <w:sz w:val="32"/>
          <w:szCs w:val="32"/>
        </w:rPr>
        <w:t>。</w:t>
      </w:r>
    </w:p>
    <w:p>
      <w:pPr>
        <w:spacing w:before="156" w:beforeLines="50" w:after="156" w:afterLines="50"/>
        <w:ind w:firstLine="640" w:firstLineChars="200"/>
        <w:rPr>
          <w:rFonts w:ascii="仿宋" w:hAnsi="仿宋" w:eastAsia="仿宋"/>
          <w:color w:val="000000"/>
          <w:sz w:val="32"/>
          <w:szCs w:val="32"/>
        </w:rPr>
      </w:pPr>
      <w:r>
        <w:rPr>
          <w:rFonts w:ascii="仿宋" w:hAnsi="仿宋" w:eastAsia="仿宋"/>
          <w:color w:val="000000"/>
          <w:sz w:val="32"/>
          <w:szCs w:val="32"/>
        </w:rPr>
        <w:t>本鉴证报告仅供被鉴证人报送的主管税务机关受理土地增值税清算审批之用，不得作为其他用途。非法律、行政法规规定，鉴证报告的全部内容不得提供给其他任何单位和个人。</w:t>
      </w:r>
    </w:p>
    <w:p>
      <w:pPr>
        <w:spacing w:before="156" w:beforeLines="50" w:after="156" w:afterLines="50"/>
        <w:rPr>
          <w:rFonts w:ascii="仿宋" w:hAnsi="仿宋" w:eastAsia="仿宋"/>
          <w:color w:val="000000"/>
          <w:sz w:val="32"/>
          <w:szCs w:val="32"/>
        </w:rPr>
      </w:pPr>
    </w:p>
    <w:p>
      <w:pPr>
        <w:spacing w:before="156" w:beforeLines="50" w:after="156" w:afterLines="50"/>
        <w:ind w:firstLine="492"/>
        <w:rPr>
          <w:rFonts w:ascii="仿宋" w:hAnsi="仿宋" w:eastAsia="仿宋"/>
          <w:color w:val="000000"/>
          <w:sz w:val="32"/>
          <w:szCs w:val="32"/>
        </w:rPr>
      </w:pPr>
    </w:p>
    <w:p>
      <w:pPr>
        <w:spacing w:before="156" w:beforeLines="50" w:after="156" w:afterLines="50"/>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涉税服务人员：（签章）</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法人代表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执行事务合伙人</w:t>
      </w:r>
      <w:r>
        <w:rPr>
          <w:rFonts w:hint="eastAsia" w:ascii="仿宋" w:hAnsi="仿宋" w:eastAsia="仿宋"/>
          <w:color w:val="000000"/>
          <w:sz w:val="32"/>
          <w:szCs w:val="32"/>
          <w:lang w:eastAsia="zh-CN"/>
        </w:rPr>
        <w:t>）</w:t>
      </w:r>
      <w:r>
        <w:rPr>
          <w:rFonts w:hint="eastAsia" w:ascii="仿宋" w:hAnsi="仿宋" w:eastAsia="仿宋"/>
          <w:color w:val="000000"/>
          <w:sz w:val="32"/>
          <w:szCs w:val="32"/>
        </w:rPr>
        <w:t>：（签章）</w:t>
      </w:r>
    </w:p>
    <w:p>
      <w:pPr>
        <w:spacing w:before="156" w:beforeLines="50" w:after="156" w:afterLines="50"/>
        <w:rPr>
          <w:rFonts w:ascii="仿宋" w:hAnsi="仿宋" w:eastAsia="仿宋"/>
          <w:color w:val="000000"/>
          <w:sz w:val="32"/>
          <w:szCs w:val="32"/>
        </w:rPr>
      </w:pP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税务师事务所（盖章）</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地址：</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日期：</w:t>
      </w:r>
    </w:p>
    <w:p>
      <w:pPr>
        <w:spacing w:before="156" w:beforeLines="50" w:after="156" w:afterLines="50"/>
        <w:ind w:firstLine="640" w:firstLineChars="200"/>
        <w:rPr>
          <w:rFonts w:ascii="仿宋" w:hAnsi="仿宋" w:eastAsia="仿宋" w:cs="Calibri"/>
          <w:color w:val="000000"/>
          <w:sz w:val="32"/>
          <w:szCs w:val="32"/>
        </w:rPr>
      </w:pPr>
      <w:r>
        <w:rPr>
          <w:rFonts w:ascii="Calibri" w:hAnsi="Calibri" w:eastAsia="仿宋" w:cs="Calibri"/>
          <w:color w:val="000000"/>
          <w:sz w:val="32"/>
          <w:szCs w:val="32"/>
        </w:rPr>
        <w:t>    </w:t>
      </w:r>
    </w:p>
    <w:p>
      <w:pPr>
        <w:spacing w:before="156" w:beforeLines="50" w:after="156" w:afterLines="50"/>
        <w:rPr>
          <w:rFonts w:ascii="仿宋" w:hAnsi="仿宋" w:eastAsia="仿宋" w:cs="Calibri"/>
          <w:color w:val="000000"/>
          <w:sz w:val="32"/>
          <w:szCs w:val="32"/>
        </w:rPr>
      </w:pPr>
    </w:p>
    <w:p>
      <w:pPr>
        <w:spacing w:before="156" w:beforeLines="50" w:after="156" w:afterLines="50"/>
        <w:ind w:firstLine="640" w:firstLineChars="200"/>
        <w:rPr>
          <w:rFonts w:ascii="仿宋" w:hAnsi="仿宋" w:eastAsia="仿宋"/>
          <w:color w:val="000000"/>
          <w:sz w:val="32"/>
          <w:szCs w:val="32"/>
        </w:rPr>
      </w:pPr>
    </w:p>
    <w:p>
      <w:pPr>
        <w:pStyle w:val="2"/>
        <w:ind w:firstLine="0" w:firstLineChars="0"/>
      </w:pPr>
    </w:p>
    <w:p>
      <w:pPr>
        <w:spacing w:before="156" w:beforeLines="50" w:after="156" w:afterLines="50"/>
        <w:ind w:firstLine="640" w:firstLineChars="200"/>
        <w:rPr>
          <w:rFonts w:ascii="仿宋" w:hAnsi="仿宋" w:eastAsia="仿宋"/>
          <w:color w:val="000000"/>
          <w:sz w:val="32"/>
          <w:szCs w:val="32"/>
        </w:rPr>
      </w:pPr>
    </w:p>
    <w:p>
      <w:pPr>
        <w:spacing w:before="156" w:beforeLines="50" w:after="156" w:afterLines="50"/>
        <w:ind w:firstLine="640" w:firstLineChars="200"/>
        <w:rPr>
          <w:rFonts w:hint="eastAsia" w:ascii="仿宋" w:hAnsi="仿宋" w:eastAsia="仿宋"/>
          <w:color w:val="000000"/>
          <w:sz w:val="32"/>
          <w:szCs w:val="32"/>
        </w:rPr>
      </w:pP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附件：</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1.税务师事务所和税务师执业证书复印件。</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2.企业基本情况和土地增值税清算税款申报鉴证事项说明。</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3.土地增值税纳税申报鉴证主表及其明细项目审核表。具体包括：</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（1）土地增值税清算税款鉴证主表；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（2）土地增值税清算税款鉴证（转让土地使用权）明细表；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（3）土地增值税清算税款鉴证（销售普通住宅）明细表；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（4）土地增值税清算税款鉴证（销售非普通住宅）明细表；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）土地增值税清算税款鉴证（销售其他类型房地产）明细表；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）与收入相关的面积审核调整明细表；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）转让土地使用权、房地产销售收入审核调整明细表；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8</w:t>
      </w:r>
      <w:r>
        <w:rPr>
          <w:rFonts w:hint="eastAsia" w:ascii="仿宋" w:hAnsi="仿宋" w:eastAsia="仿宋"/>
          <w:color w:val="000000"/>
          <w:sz w:val="32"/>
          <w:szCs w:val="32"/>
        </w:rPr>
        <w:t>）扣除项目及成本结转审核汇总表；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rPr>
        <w:t>）与转让土地使用权、销售房地产有关税费审核调整明细表；</w:t>
      </w:r>
    </w:p>
    <w:p>
      <w:pPr>
        <w:spacing w:before="156" w:beforeLines="50" w:after="156" w:afterLines="50"/>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10</w:t>
      </w:r>
      <w:r>
        <w:rPr>
          <w:rFonts w:hint="eastAsia" w:ascii="仿宋" w:hAnsi="仿宋" w:eastAsia="仿宋"/>
          <w:color w:val="000000"/>
          <w:sz w:val="32"/>
          <w:szCs w:val="32"/>
        </w:rPr>
        <w:t>）土地增值税缴纳情况审核汇总表。</w:t>
      </w:r>
    </w:p>
    <w:p>
      <w:pPr>
        <w:spacing w:before="156" w:beforeLines="50" w:after="156" w:afterLines="50"/>
        <w:ind w:firstLine="640" w:firstLineChars="200"/>
        <w:rPr>
          <w:rFonts w:ascii="仿宋" w:hAnsi="仿宋" w:eastAsia="仿宋"/>
          <w:color w:val="000000"/>
          <w:sz w:val="32"/>
          <w:szCs w:val="32"/>
        </w:rPr>
      </w:pPr>
      <w:r>
        <w:rPr>
          <w:rFonts w:ascii="Calibri" w:hAnsi="Calibri" w:eastAsia="仿宋" w:cs="Calibri"/>
          <w:color w:val="000000"/>
          <w:sz w:val="32"/>
          <w:szCs w:val="32"/>
        </w:rPr>
        <w:t> </w:t>
      </w:r>
      <w:r>
        <w:rPr>
          <w:rFonts w:hint="eastAsia" w:ascii="仿宋" w:hAnsi="仿宋" w:eastAsia="仿宋"/>
          <w:color w:val="000000"/>
          <w:sz w:val="32"/>
          <w:szCs w:val="32"/>
        </w:rPr>
        <w:t>4.土地增值税清算税款申报审核事项有关证明材料（复印件）。</w:t>
      </w: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olor w:val="000000"/>
          <w:sz w:val="32"/>
          <w:szCs w:val="32"/>
        </w:rPr>
      </w:pPr>
    </w:p>
    <w:p>
      <w:pPr>
        <w:widowControl/>
        <w:shd w:val="clear" w:color="auto" w:fill="FFFFFF"/>
        <w:spacing w:before="156" w:beforeLines="50" w:after="156" w:afterLines="50"/>
        <w:jc w:val="left"/>
        <w:rPr>
          <w:rFonts w:ascii="仿宋" w:hAnsi="仿宋" w:eastAsia="仿宋" w:cs="宋体"/>
          <w:b/>
          <w:bCs/>
          <w:color w:val="000000"/>
          <w:kern w:val="0"/>
          <w:sz w:val="32"/>
          <w:szCs w:val="32"/>
        </w:rPr>
      </w:pPr>
    </w:p>
    <w:p>
      <w:pPr>
        <w:widowControl/>
        <w:shd w:val="clear" w:color="auto" w:fill="FFFFFF"/>
        <w:spacing w:before="156" w:beforeLines="50" w:after="156" w:afterLines="5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附件</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w:t>
      </w:r>
    </w:p>
    <w:p>
      <w:pPr>
        <w:widowControl/>
        <w:shd w:val="clear" w:color="auto" w:fill="FFFFFF"/>
        <w:spacing w:before="156" w:beforeLines="50" w:after="156" w:afterLines="5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企业基本情况和土地增值税清算税款申报鉴证事项说明</w:t>
      </w:r>
    </w:p>
    <w:p>
      <w:pPr>
        <w:widowControl/>
        <w:shd w:val="clear" w:color="auto" w:fill="FFFFFF"/>
        <w:spacing w:before="156" w:beforeLines="50" w:after="156" w:afterLines="5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（参考文本）</w:t>
      </w:r>
    </w:p>
    <w:p>
      <w:pPr>
        <w:widowControl/>
        <w:shd w:val="clear" w:color="auto" w:fill="FFFFFF"/>
        <w:spacing w:before="156" w:beforeLines="50" w:after="156" w:afterLines="50"/>
        <w:jc w:val="center"/>
        <w:rPr>
          <w:rFonts w:ascii="仿宋" w:hAnsi="仿宋" w:eastAsia="仿宋" w:cs="宋体"/>
          <w:b/>
          <w:bCs/>
          <w:color w:val="000000"/>
          <w:kern w:val="0"/>
          <w:sz w:val="32"/>
          <w:szCs w:val="32"/>
        </w:rPr>
      </w:pPr>
    </w:p>
    <w:p>
      <w:pPr>
        <w:widowControl/>
        <w:shd w:val="clear" w:color="auto" w:fill="FFFFFF"/>
        <w:spacing w:before="156" w:beforeLines="50" w:after="156" w:afterLines="50"/>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一、基本情况</w:t>
      </w:r>
    </w:p>
    <w:p>
      <w:pPr>
        <w:widowControl/>
        <w:shd w:val="clear" w:color="auto" w:fill="FFFFFF"/>
        <w:spacing w:before="156" w:beforeLines="50" w:after="156" w:afterLines="50"/>
        <w:ind w:left="288"/>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（一）企业基本情况</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成立日期：</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2.税务登记证号：</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3.地址：</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4.法人代表：</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5.注册资本：</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6.投资总额：</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7.企业类型：</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8.经营范围：</w:t>
      </w:r>
    </w:p>
    <w:p>
      <w:pPr>
        <w:widowControl/>
        <w:shd w:val="clear" w:color="auto" w:fill="FFFFFF"/>
        <w:spacing w:before="156" w:beforeLines="50" w:after="156" w:afterLines="50"/>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9.其他：</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（二）项目基本情况</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1</w:t>
      </w:r>
      <w:r>
        <w:rPr>
          <w:rFonts w:ascii="仿宋" w:hAnsi="仿宋" w:eastAsia="仿宋" w:cs="Calibri"/>
          <w:color w:val="000000"/>
          <w:kern w:val="0"/>
          <w:sz w:val="32"/>
          <w:szCs w:val="32"/>
        </w:rPr>
        <w:t>.</w:t>
      </w:r>
      <w:r>
        <w:rPr>
          <w:rFonts w:hint="eastAsia" w:ascii="仿宋" w:hAnsi="仿宋" w:eastAsia="仿宋" w:cs="Calibri"/>
          <w:color w:val="000000"/>
          <w:kern w:val="0"/>
          <w:sz w:val="32"/>
          <w:szCs w:val="32"/>
        </w:rPr>
        <w:t>项目地址。</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2</w:t>
      </w:r>
      <w:r>
        <w:rPr>
          <w:rFonts w:ascii="仿宋" w:hAnsi="仿宋" w:eastAsia="仿宋" w:cs="Calibri"/>
          <w:color w:val="000000"/>
          <w:kern w:val="0"/>
          <w:sz w:val="32"/>
          <w:szCs w:val="32"/>
        </w:rPr>
        <w:t>.</w:t>
      </w:r>
      <w:r>
        <w:rPr>
          <w:rFonts w:hint="eastAsia" w:ascii="仿宋" w:hAnsi="仿宋" w:eastAsia="仿宋" w:cs="Calibri"/>
          <w:color w:val="000000"/>
          <w:kern w:val="0"/>
          <w:sz w:val="32"/>
          <w:szCs w:val="32"/>
        </w:rPr>
        <w:t>项目概况。列明开发项目类型、占地面积、取得相关批文的情况。</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3.</w:t>
      </w:r>
      <w:r>
        <w:rPr>
          <w:rFonts w:hint="eastAsia" w:ascii="仿宋" w:hAnsi="仿宋" w:eastAsia="仿宋" w:cs="Calibri"/>
          <w:color w:val="000000"/>
          <w:kern w:val="0"/>
          <w:sz w:val="32"/>
          <w:szCs w:val="32"/>
        </w:rPr>
        <w:t>项目建设规模。列明总建筑面积、拆迁户回迁面积、公共配套面积、可售面积，并分别说明普通住宅、非普通住宅、其他开发项目的建设规模。</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4.普通住宅的判定情况：</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w:t>
      </w:r>
      <w:r>
        <w:rPr>
          <w:rFonts w:ascii="仿宋" w:hAnsi="仿宋" w:eastAsia="仿宋" w:cs="Calibri"/>
          <w:color w:val="000000"/>
          <w:kern w:val="0"/>
          <w:sz w:val="32"/>
          <w:szCs w:val="32"/>
        </w:rPr>
        <w:t>1）项目规划容积率：</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w:t>
      </w:r>
      <w:r>
        <w:rPr>
          <w:rFonts w:ascii="仿宋" w:hAnsi="仿宋" w:eastAsia="仿宋" w:cs="Calibri"/>
          <w:color w:val="000000"/>
          <w:kern w:val="0"/>
          <w:sz w:val="32"/>
          <w:szCs w:val="32"/>
        </w:rPr>
        <w:t>2）该项目属于</w:t>
      </w:r>
      <w:r>
        <w:rPr>
          <w:rFonts w:hint="eastAsia" w:ascii="仿宋" w:hAnsi="仿宋" w:eastAsia="仿宋" w:cs="宋体"/>
          <w:color w:val="000000"/>
          <w:kern w:val="0"/>
          <w:sz w:val="32"/>
          <w:szCs w:val="32"/>
          <w:lang w:val="en-US" w:eastAsia="zh-CN"/>
        </w:rPr>
        <w:t>____</w:t>
      </w:r>
      <w:r>
        <w:rPr>
          <w:rFonts w:ascii="仿宋" w:hAnsi="仿宋" w:eastAsia="仿宋" w:cs="Calibri"/>
          <w:color w:val="000000"/>
          <w:kern w:val="0"/>
          <w:sz w:val="32"/>
          <w:szCs w:val="32"/>
        </w:rPr>
        <w:t>级土地，清算时该级别土地上商品房平均交易价格</w:t>
      </w:r>
      <w:r>
        <w:rPr>
          <w:rFonts w:hint="eastAsia" w:ascii="仿宋" w:hAnsi="仿宋" w:eastAsia="仿宋" w:cs="宋体"/>
          <w:color w:val="000000"/>
          <w:kern w:val="0"/>
          <w:sz w:val="32"/>
          <w:szCs w:val="32"/>
          <w:lang w:val="en-US" w:eastAsia="zh-CN"/>
        </w:rPr>
        <w:t>____</w:t>
      </w:r>
      <w:r>
        <w:rPr>
          <w:rFonts w:ascii="仿宋" w:hAnsi="仿宋" w:eastAsia="仿宋" w:cs="Calibri"/>
          <w:color w:val="000000"/>
          <w:kern w:val="0"/>
          <w:sz w:val="32"/>
          <w:szCs w:val="32"/>
        </w:rPr>
        <w:t>元，普通住宅销售价格上限</w:t>
      </w:r>
      <w:r>
        <w:rPr>
          <w:rFonts w:hint="eastAsia" w:ascii="仿宋" w:hAnsi="仿宋" w:eastAsia="仿宋" w:cs="宋体"/>
          <w:color w:val="000000"/>
          <w:kern w:val="0"/>
          <w:sz w:val="32"/>
          <w:szCs w:val="32"/>
          <w:lang w:val="en-US" w:eastAsia="zh-CN"/>
        </w:rPr>
        <w:t>____</w:t>
      </w:r>
      <w:r>
        <w:rPr>
          <w:rFonts w:ascii="仿宋" w:hAnsi="仿宋" w:eastAsia="仿宋" w:cs="Calibri"/>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w:t>
      </w:r>
      <w:r>
        <w:rPr>
          <w:rFonts w:ascii="仿宋" w:hAnsi="仿宋" w:eastAsia="仿宋" w:cs="Calibri"/>
          <w:color w:val="000000"/>
          <w:kern w:val="0"/>
          <w:sz w:val="32"/>
          <w:szCs w:val="32"/>
        </w:rPr>
        <w:t>3）普通标准住宅明细：</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5.项目销售情况。列明取得预售许可证情况，实际开始销售日期、截止清算基准日已售面积、未售面积，已售面积占可售面积比例，已售面积占总建筑面积比例等，并分别按普通住宅、其他商品房、其他开发项目予以说明。</w:t>
      </w:r>
    </w:p>
    <w:p>
      <w:pPr>
        <w:widowControl/>
        <w:shd w:val="clear" w:color="auto" w:fill="FFFFFF"/>
        <w:spacing w:before="156" w:beforeLines="50" w:after="156" w:afterLines="50"/>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6.项目设计情况。说明设计方案是否由境外机构或境外人员提供，以及项目设计的其他情况。</w:t>
      </w:r>
      <w:r>
        <w:rPr>
          <w:rFonts w:ascii="Calibri" w:hAnsi="Calibri" w:eastAsia="仿宋" w:cs="Calibri"/>
          <w:color w:val="000000"/>
          <w:kern w:val="0"/>
          <w:sz w:val="32"/>
          <w:szCs w:val="32"/>
        </w:rPr>
        <w:t>    </w:t>
      </w:r>
    </w:p>
    <w:p>
      <w:pPr>
        <w:widowControl/>
        <w:shd w:val="clear" w:color="auto" w:fill="FFFFFF"/>
        <w:spacing w:before="156" w:beforeLines="50" w:after="156" w:afterLines="50"/>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二、主要会计政策和税收政策</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1.公司执行会计准则或《会计制度》及有关规定。</w:t>
      </w:r>
    </w:p>
    <w:p>
      <w:pPr>
        <w:widowControl/>
        <w:shd w:val="clear" w:color="auto" w:fill="FFFFFF"/>
        <w:spacing w:before="156" w:beforeLines="50" w:after="156" w:afterLines="5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2.公司会计核算方法</w:t>
      </w:r>
      <w:r>
        <w:rPr>
          <w:rFonts w:hint="eastAsia" w:ascii="仿宋" w:hAnsi="仿宋" w:eastAsia="仿宋" w:cs="宋体"/>
          <w:color w:val="000000"/>
          <w:kern w:val="0"/>
          <w:sz w:val="32"/>
          <w:szCs w:val="32"/>
          <w:lang w:eastAsia="zh-CN"/>
        </w:rPr>
        <w:t>。</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收入、成本、费用按权责发生制进行账务处理，固定资产折旧按直线法计提。</w:t>
      </w:r>
    </w:p>
    <w:p>
      <w:pPr>
        <w:spacing w:before="156" w:beforeLines="50" w:after="156" w:after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3.主要内部控制制度</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根据《公司法》、《会计法》等其他相关的法律法规，为了保证各项经济活动的效率和效果，确保财务报告的可靠性，保护资产的安全、完整，防范、规避经营风险，防止欺诈和舞弊，</w:t>
      </w:r>
      <w:r>
        <w:rPr>
          <w:rFonts w:ascii="仿宋" w:hAnsi="仿宋" w:eastAsia="仿宋" w:cs="宋体"/>
          <w:color w:val="000000"/>
          <w:kern w:val="0"/>
          <w:sz w:val="32"/>
          <w:szCs w:val="32"/>
        </w:rPr>
        <w:t>公司制订了相关内部控制制度。包括现金管理、资金支付与结算管理、固定资产及设备管理、职责分工与授权批准、采购与验收的管理、内部监督等内部控制制度。</w:t>
      </w:r>
    </w:p>
    <w:p>
      <w:pPr>
        <w:spacing w:before="156" w:beforeLines="50" w:after="156" w:after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4.土地增值税清算条件</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商品房预售许可证日期</w:t>
      </w:r>
      <w:r>
        <w:rPr>
          <w:rFonts w:ascii="仿宋" w:hAnsi="仿宋" w:eastAsia="仿宋" w:cs="宋体"/>
          <w:color w:val="000000"/>
          <w:kern w:val="0"/>
          <w:sz w:val="32"/>
          <w:szCs w:val="32"/>
        </w:rPr>
        <w:t>年月日发放,超过三年,符合土地增值税清算条件。</w:t>
      </w:r>
    </w:p>
    <w:p>
      <w:pPr>
        <w:spacing w:before="156" w:beforeLines="50" w:after="156" w:after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5.开发产品完工的标准</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该项目</w:t>
      </w:r>
      <w:r>
        <w:rPr>
          <w:rFonts w:hint="eastAsia" w:ascii="仿宋" w:hAnsi="仿宋" w:eastAsia="仿宋" w:cs="宋体"/>
          <w:color w:val="000000"/>
          <w:kern w:val="0"/>
          <w:sz w:val="32"/>
          <w:szCs w:val="32"/>
          <w:lang w:val="en-US" w:eastAsia="zh-CN"/>
        </w:rPr>
        <w:t>____</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____</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____</w:t>
      </w:r>
      <w:r>
        <w:rPr>
          <w:rFonts w:ascii="仿宋" w:hAnsi="仿宋" w:eastAsia="仿宋" w:cs="宋体"/>
          <w:color w:val="000000"/>
          <w:kern w:val="0"/>
          <w:sz w:val="32"/>
          <w:szCs w:val="32"/>
        </w:rPr>
        <w:t>日达到验收标准状态。</w:t>
      </w:r>
    </w:p>
    <w:p>
      <w:pPr>
        <w:spacing w:before="156" w:beforeLines="50" w:after="156" w:after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6.成本费用的分配标准</w:t>
      </w:r>
    </w:p>
    <w:p>
      <w:pPr>
        <w:spacing w:before="156" w:beforeLines="50" w:after="156" w:afterLines="50"/>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按建筑面积占总面积的百分比确认成本费用。</w:t>
      </w:r>
    </w:p>
    <w:p>
      <w:pPr>
        <w:spacing w:before="156" w:beforeLines="50" w:after="156" w:after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7.开发产品销售收入确认的标准</w:t>
      </w:r>
    </w:p>
    <w:p>
      <w:pPr>
        <w:spacing w:before="156" w:beforeLines="50" w:after="156" w:afterLines="50"/>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一次性全额收款的，按实际收讫价款之日确认收入，分期收款的，按销售合同约定付款日确认收入，银行按揭的，首付款按实际收款日确认收入，余款在银行按揭贷款办理转账之日确认收入。</w:t>
      </w:r>
    </w:p>
    <w:p>
      <w:pPr>
        <w:spacing w:before="156" w:beforeLines="50" w:after="156" w:afterLines="50"/>
        <w:rPr>
          <w:rFonts w:ascii="仿宋" w:hAnsi="仿宋" w:eastAsia="仿宋" w:cs="宋体"/>
          <w:color w:val="000000"/>
          <w:kern w:val="0"/>
          <w:sz w:val="32"/>
          <w:szCs w:val="32"/>
        </w:rPr>
      </w:pPr>
      <w:r>
        <w:rPr>
          <w:rFonts w:ascii="仿宋" w:hAnsi="仿宋" w:eastAsia="仿宋" w:cs="宋体"/>
          <w:color w:val="000000"/>
          <w:kern w:val="0"/>
          <w:sz w:val="32"/>
          <w:szCs w:val="32"/>
        </w:rPr>
        <w:t xml:space="preserve">    8.开发产品视同销售确认收入的标准</w:t>
      </w:r>
    </w:p>
    <w:p>
      <w:pPr>
        <w:spacing w:before="156" w:beforeLines="50" w:after="156" w:afterLines="50"/>
        <w:ind w:firstLine="640" w:firstLineChars="200"/>
        <w:rPr>
          <w:rFonts w:ascii="仿宋" w:hAnsi="仿宋" w:eastAsia="仿宋" w:cs="Calibri"/>
          <w:color w:val="000000"/>
          <w:kern w:val="0"/>
          <w:sz w:val="32"/>
          <w:szCs w:val="32"/>
        </w:rPr>
      </w:pPr>
      <w:r>
        <w:rPr>
          <w:rFonts w:hint="eastAsia" w:ascii="仿宋" w:hAnsi="仿宋" w:eastAsia="仿宋" w:cs="宋体"/>
          <w:color w:val="000000"/>
          <w:kern w:val="0"/>
          <w:sz w:val="32"/>
          <w:szCs w:val="32"/>
        </w:rPr>
        <w:t>开发产品所有权转移时确认销售收入。</w:t>
      </w:r>
      <w:r>
        <w:rPr>
          <w:rFonts w:ascii="Calibri" w:hAnsi="Calibri" w:eastAsia="仿宋" w:cs="Calibri"/>
          <w:color w:val="000000"/>
          <w:kern w:val="0"/>
          <w:sz w:val="32"/>
          <w:szCs w:val="32"/>
        </w:rPr>
        <w:t>   </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9.与土地增值税清算项目相关的税收政策：</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10.其他政策：</w:t>
      </w:r>
    </w:p>
    <w:p>
      <w:pPr>
        <w:spacing w:before="156" w:beforeLines="50" w:after="156" w:afterLines="50"/>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三、土地增值税的审核情况</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（一）土地增值税应税收入的审核</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截至</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日止，被鉴证人自报本项目土地增值税应税收入</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元；经审核，核定土地增值税应税收入为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元，比自报数调增/调减</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spacing w:before="156" w:beforeLines="50" w:after="156" w:afterLines="5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1.销售普通标准住宅</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平方米，取得销售收入自报应税收入</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元；经审核，调增/调减收入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元，核定收入</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.销售非普通标准住宅</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平方米，取得销售收入自报应税收入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元；经审核，调增/调减收入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.销售其他类型房地产</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平方米，取得销售收入自报应税收入</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元；经审核，调增/调减收入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元，核定收入</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.视同销售房地产收入：（1）按本企业在同一地区、同一年度销售的同类房地产平均价格；或（2）参照当地当年、同类房地产的市场价格、评估价值确定，自报应税收入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元；经审核，调增/调减收入</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元，核定其他项目应税收入</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（二）土地增值税扣除项目的审核</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截至</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日止，被鉴证人自报本项目土地增值税应税扣除项目总额</w:t>
      </w:r>
      <w:r>
        <w:rPr>
          <w:rFonts w:hint="eastAsia" w:ascii="仿宋" w:hAnsi="仿宋" w:eastAsia="仿宋" w:cs="宋体"/>
          <w:color w:val="000000"/>
          <w:kern w:val="0"/>
          <w:sz w:val="32"/>
          <w:szCs w:val="32"/>
          <w:u w:val="none"/>
          <w:lang w:val="en-US" w:eastAsia="zh-CN"/>
        </w:rPr>
        <w:t>____</w:t>
      </w:r>
      <w:r>
        <w:rPr>
          <w:rFonts w:hint="eastAsia" w:ascii="仿宋" w:hAnsi="仿宋" w:eastAsia="仿宋" w:cs="宋体"/>
          <w:color w:val="000000"/>
          <w:kern w:val="0"/>
          <w:sz w:val="32"/>
          <w:szCs w:val="32"/>
        </w:rPr>
        <w:t>元；经审核，核定土地增值税扣除项目总额</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元，比自报数调增/调减</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1.取得土地使用权所支付的金额。被鉴证人自报取得本项目的土地使用权支付金额为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元，核定允许扣除的取得土地使用权所支付的金额为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2.房地产开发成本。被鉴证人本项目自报房地产开发成本</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元，核定允许扣除的房地产开发成本为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（1）被鉴证人自报土地征用及拆迁补偿</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元，核定允许扣除的土地征用及拆迁补偿为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（2）被鉴证人自报前期工程费</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 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元，核定允许扣除的前期工程费为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（3）被鉴证人自报建筑安装工程费</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元，核定允许扣除的建筑安装工程费为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（4）被鉴证人自报基础设施费</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元，核定允许扣除的基础设施费为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（5）被鉴证人自报公共配套设施费</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元，核定允许扣除的公共配套设施费为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（6）被鉴证人自报开发间接费</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元；经审核，由于</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原因，应调增/调减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元，核定允许扣除的开发间接费为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3.房地产开发费用。</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（1）本项目发生的财务费用中，借款利息支出能够全部提供金融机构票据证明的，应据实扣除，扣除金额为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元。其房地产开发费用按取得土地使用权所支付金额</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元与开发成本</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元之和的5%扣除</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元。因此，被鉴证人此项目可扣除金额为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（2）本项目发生的财务费用中，借款利息支出未能全部提供金融机构票据的，其房地产开发费用按取得土地使用权所支付金额</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元与开发成本</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元之和的10%扣除</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元。因此，被鉴证人此项目可扣除金额为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4.与转让房地产有关的税金。</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被鉴证人自报转让房地产有关税金为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元，调整后被鉴证人可扣除的转让房地产有关税金为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 被鉴证人自报转让房地产有关营业税税金为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元；经审核，应调增/调减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元，调整后被鉴证人可扣除的转让房地产有关营业税税金为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 被鉴证人自报转让房地产有关城市维护建设税税金为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元；经审核，应调增/调减</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元，调整后被鉴证人可扣除的转让房地产有关城市维护建设税税金为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 被鉴证人自报转让房地产有关教育费附加费为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元；经审核，应调增/调减</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元，调整后被鉴证人可扣除的转让房地产有关教育费附加费为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5.税收规定的其他扣除项目。</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被鉴证人根据税收有关规定，允许按取得土地使用权所支付金额</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元与开发成本元之和的20%加计扣除。因此，被鉴证人其他扣除项目的金额为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（三）增值额及增值率的审核</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被鉴证人自报转让房地产土地增值税的增值额为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元；经审核，应缴土地增值税的增值额为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（1）普通住宅土地增值税的增值额为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元，增值率为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（2）非普通住宅土地增值税的增值额为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元，增值率为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（3）其他类型房地产土地增值税的增值额为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元，增值率为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w:t>
      </w:r>
    </w:p>
    <w:p>
      <w:pPr>
        <w:widowControl/>
        <w:shd w:val="clear" w:color="auto" w:fill="FFFFFF"/>
        <w:spacing w:before="156" w:beforeLines="50" w:after="156" w:afterLines="50"/>
        <w:ind w:firstLine="320" w:firstLineChars="100"/>
        <w:jc w:val="left"/>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（四）应缴土地增值税的审核</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被鉴证人自报转让房地产土地增值税税额为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元；经审核，应缴土地增值税税额为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元，已缴税为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元；应补（退）税额为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元。其中：</w:t>
      </w:r>
    </w:p>
    <w:p>
      <w:pPr>
        <w:widowControl/>
        <w:shd w:val="clear" w:color="auto" w:fill="FFFFFF"/>
        <w:spacing w:before="156" w:beforeLines="50" w:after="156" w:after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1.普通住宅应缴土地增值税税额为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元；已缴税额为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元，应补（退）税额为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Style w:val="8"/>
          <w:rFonts w:ascii="仿宋" w:hAnsi="仿宋" w:eastAsia="仿宋"/>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.非普通住宅应缴土地增值税税额为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元；已缴税额为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元，应补（退）税额为</w:t>
      </w:r>
      <w:r>
        <w:rPr>
          <w:rFonts w:hint="eastAsia" w:ascii="仿宋" w:hAnsi="仿宋" w:eastAsia="仿宋" w:cs="宋体"/>
          <w:color w:val="000000"/>
          <w:kern w:val="0"/>
          <w:sz w:val="32"/>
          <w:szCs w:val="32"/>
          <w:lang w:val="en-US" w:eastAsia="zh-CN"/>
        </w:rPr>
        <w:t>____</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0" w:firstLineChars="200"/>
        <w:jc w:val="left"/>
        <w:rPr>
          <w:rStyle w:val="8"/>
          <w:rFonts w:ascii="仿宋" w:hAnsi="仿宋" w:eastAsia="仿宋"/>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 其他类型房地产应缴土地增值税税额为</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元；已缴税额为元，应补（退）税额为</w:t>
      </w:r>
      <w:r>
        <w:rPr>
          <w:rFonts w:hint="eastAsia" w:ascii="仿宋" w:hAnsi="仿宋" w:eastAsia="仿宋" w:cs="宋体"/>
          <w:color w:val="000000"/>
          <w:kern w:val="0"/>
          <w:sz w:val="32"/>
          <w:szCs w:val="32"/>
          <w:lang w:val="en-US" w:eastAsia="zh-CN"/>
        </w:rPr>
        <w:t>____</w:t>
      </w:r>
      <w:r>
        <w:rPr>
          <w:rFonts w:hint="eastAsia" w:ascii="仿宋" w:hAnsi="仿宋" w:eastAsia="仿宋" w:cs="宋体"/>
          <w:color w:val="000000"/>
          <w:kern w:val="0"/>
          <w:sz w:val="32"/>
          <w:szCs w:val="32"/>
        </w:rPr>
        <w:t>元。</w:t>
      </w:r>
    </w:p>
    <w:p>
      <w:pPr>
        <w:widowControl/>
        <w:shd w:val="clear" w:color="auto" w:fill="FFFFFF"/>
        <w:spacing w:before="156" w:beforeLines="50" w:after="156" w:afterLines="50"/>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四、应当披露的其他事项</w:t>
      </w:r>
    </w:p>
    <w:p>
      <w:pPr>
        <w:widowControl/>
        <w:shd w:val="clear" w:color="auto" w:fill="FFFFFF"/>
        <w:spacing w:before="156" w:beforeLines="50" w:after="156" w:afterLines="50"/>
        <w:ind w:firstLine="643" w:firstLineChars="200"/>
        <w:jc w:val="left"/>
        <w:rPr>
          <w:rFonts w:ascii="仿宋" w:hAnsi="仿宋" w:eastAsia="仿宋" w:cs="宋体"/>
          <w:b/>
          <w:bCs/>
          <w:kern w:val="0"/>
          <w:sz w:val="32"/>
          <w:szCs w:val="32"/>
        </w:rPr>
      </w:pPr>
      <w:r>
        <w:rPr>
          <w:rFonts w:hint="eastAsia" w:ascii="仿宋" w:hAnsi="仿宋" w:eastAsia="仿宋" w:cs="宋体"/>
          <w:b/>
          <w:bCs/>
          <w:color w:val="000000"/>
          <w:kern w:val="0"/>
          <w:sz w:val="32"/>
          <w:szCs w:val="32"/>
        </w:rPr>
        <w:t>五、委托单位对鉴证事项的意见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003644CF"/>
    <w:rsid w:val="0019511A"/>
    <w:rsid w:val="001B35BF"/>
    <w:rsid w:val="002A4AEE"/>
    <w:rsid w:val="002D1C7E"/>
    <w:rsid w:val="0030175D"/>
    <w:rsid w:val="003644CF"/>
    <w:rsid w:val="004A553E"/>
    <w:rsid w:val="005D0E72"/>
    <w:rsid w:val="005F3E15"/>
    <w:rsid w:val="007A7673"/>
    <w:rsid w:val="00855933"/>
    <w:rsid w:val="008A6DE6"/>
    <w:rsid w:val="00940590"/>
    <w:rsid w:val="009432D5"/>
    <w:rsid w:val="009B273D"/>
    <w:rsid w:val="00A277CA"/>
    <w:rsid w:val="00AC0E18"/>
    <w:rsid w:val="00B36FDE"/>
    <w:rsid w:val="00B55CA7"/>
    <w:rsid w:val="00C23F55"/>
    <w:rsid w:val="00C26DBA"/>
    <w:rsid w:val="00CA1874"/>
    <w:rsid w:val="00CC363E"/>
    <w:rsid w:val="00D567BB"/>
    <w:rsid w:val="00DC4744"/>
    <w:rsid w:val="00E51641"/>
    <w:rsid w:val="02637C8D"/>
    <w:rsid w:val="1CC54D90"/>
    <w:rsid w:val="1F642118"/>
    <w:rsid w:val="213421EB"/>
    <w:rsid w:val="23333763"/>
    <w:rsid w:val="248858F1"/>
    <w:rsid w:val="26AA4985"/>
    <w:rsid w:val="2772621C"/>
    <w:rsid w:val="2A56300D"/>
    <w:rsid w:val="2A72157E"/>
    <w:rsid w:val="2A8E21A2"/>
    <w:rsid w:val="36142918"/>
    <w:rsid w:val="3794793F"/>
    <w:rsid w:val="3EE60A97"/>
    <w:rsid w:val="43B30DF8"/>
    <w:rsid w:val="44FA4DDC"/>
    <w:rsid w:val="4ECA3C30"/>
    <w:rsid w:val="51C13FBE"/>
    <w:rsid w:val="555B4153"/>
    <w:rsid w:val="5C345F9A"/>
    <w:rsid w:val="7B8D66AA"/>
    <w:rsid w:val="7CA3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lang w:val="zh-CN"/>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styleId="8">
    <w:name w:val="annotation reference"/>
    <w:semiHidden/>
    <w:unhideWhenUsed/>
    <w:qFormat/>
    <w:uiPriority w:val="99"/>
    <w:rPr>
      <w:sz w:val="21"/>
      <w:szCs w:val="21"/>
    </w:rPr>
  </w:style>
  <w:style w:type="character" w:customStyle="1" w:styleId="9">
    <w:name w:val="页脚 字符"/>
    <w:basedOn w:val="7"/>
    <w:semiHidden/>
    <w:qFormat/>
    <w:uiPriority w:val="99"/>
    <w:rPr>
      <w:rFonts w:ascii="等线" w:hAnsi="等线" w:eastAsia="等线" w:cs="Times New Roman"/>
      <w:sz w:val="18"/>
      <w:szCs w:val="18"/>
    </w:rPr>
  </w:style>
  <w:style w:type="character" w:customStyle="1" w:styleId="10">
    <w:name w:val="页脚 Char"/>
    <w:link w:val="4"/>
    <w:qFormat/>
    <w:uiPriority w:val="99"/>
    <w:rPr>
      <w:rFonts w:ascii="等线" w:hAnsi="等线" w:eastAsia="等线" w:cs="Times New Roman"/>
      <w:sz w:val="18"/>
      <w:szCs w:val="18"/>
      <w:lang w:val="zh-CN" w:eastAsia="zh-CN"/>
    </w:rPr>
  </w:style>
  <w:style w:type="character" w:customStyle="1" w:styleId="11">
    <w:name w:val="页眉 Char"/>
    <w:basedOn w:val="7"/>
    <w:link w:val="5"/>
    <w:qFormat/>
    <w:uiPriority w:val="99"/>
    <w:rPr>
      <w:rFonts w:ascii="等线" w:hAnsi="等线" w:eastAsia="等线" w:cs="Times New Roman"/>
      <w:sz w:val="18"/>
      <w:szCs w:val="18"/>
    </w:rPr>
  </w:style>
  <w:style w:type="character" w:customStyle="1" w:styleId="12">
    <w:name w:val="批注框文本 Char"/>
    <w:basedOn w:val="7"/>
    <w:link w:val="3"/>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4247</Words>
  <Characters>4695</Characters>
  <Lines>32</Lines>
  <Paragraphs>9</Paragraphs>
  <TotalTime>13</TotalTime>
  <ScaleCrop>false</ScaleCrop>
  <LinksUpToDate>false</LinksUpToDate>
  <CharactersWithSpaces>4862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2022-11-28T01:45:00Z</dcterms:created>
  <dc:creator>李 頔</dc:creator>
  <cp:lastModifiedBy>李頔</cp:lastModifiedBy>
  <dcterms:modified xsi:type="dcterms:W3CDTF">2023-06-14T06:50:23Z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664E9DF82F60448BB938719F469000E8_13</vt:lpwstr>
  </property>
</Properties>
</file>