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240" w:line="560" w:lineRule="exact"/>
        <w:jc w:val="center"/>
        <w:outlineLvl w:val="0"/>
        <w:rPr>
          <w:rFonts w:ascii="Times New Roman" w:hAnsi="Times New Roman" w:eastAsia="华文中宋" w:cs="Arial"/>
          <w:b/>
          <w:sz w:val="44"/>
          <w:szCs w:val="44"/>
        </w:rPr>
      </w:pPr>
      <w:r>
        <w:rPr>
          <w:rFonts w:hint="eastAsia" w:ascii="Times New Roman" w:hAnsi="Times New Roman" w:eastAsia="华文中宋" w:cs="Arial"/>
          <w:b/>
          <w:sz w:val="44"/>
          <w:szCs w:val="44"/>
        </w:rPr>
        <w:t>《电子凭证会计数据标准——银行电子回单（试行版）》指南</w:t>
      </w:r>
    </w:p>
    <w:p>
      <w:pPr>
        <w:pStyle w:val="11"/>
        <w:wordWrap/>
        <w:spacing w:after="0" w:line="560" w:lineRule="exact"/>
      </w:pPr>
      <w:r>
        <w:rPr>
          <w:rFonts w:hint="eastAsia"/>
        </w:rPr>
        <w:t>为加快银行电子回单应用和推广实施工作，助力国家数字经济发展和会计信息化建设，提升财政监管和税收征管效能，财政部遵循《可扩展商业报告语言（XBRL）技术规范》（GB/T 25500-2010）系列国家标准，研究起草了《电子凭证会计数据标准——银行电子回单（试行版）》（以下简称《银行电子回单</w:t>
      </w:r>
      <w:r>
        <w:rPr>
          <w:rFonts w:hint="eastAsia"/>
          <w:lang w:eastAsia="zh-CN"/>
        </w:rPr>
        <w:t>标准</w:t>
      </w:r>
      <w:r>
        <w:rPr>
          <w:rFonts w:hint="eastAsia"/>
        </w:rPr>
        <w:t>》）。《银行电子回单</w:t>
      </w:r>
      <w:r>
        <w:rPr>
          <w:rFonts w:hint="eastAsia"/>
          <w:lang w:eastAsia="zh-CN"/>
        </w:rPr>
        <w:t>标准</w:t>
      </w:r>
      <w:r>
        <w:rPr>
          <w:rFonts w:hint="eastAsia"/>
        </w:rPr>
        <w:t>》以银行电子回单为基础，反映了银行电子回单承载的全部会计信息，以便企业在信息化条件下对相关业务进行会计处理并完成归档工作。同时，《银行电子回单</w:t>
      </w:r>
      <w:r>
        <w:rPr>
          <w:rFonts w:hint="eastAsia"/>
          <w:lang w:eastAsia="zh-CN"/>
        </w:rPr>
        <w:t>标准</w:t>
      </w:r>
      <w:r>
        <w:rPr>
          <w:rFonts w:hint="eastAsia"/>
        </w:rPr>
        <w:t>》对银行电子回单开具、报销、入账、归档过程中产生的相关会计信息和回单状态信息进行了标准规范，能够防止电子回单重复入账。为方便阅读理解，我们起草了《电子凭证会计数据标准——银行电子回单（试行版）》元素清单和本指南。</w:t>
      </w:r>
    </w:p>
    <w:p>
      <w:pPr>
        <w:spacing w:after="0" w:line="560" w:lineRule="exact"/>
        <w:ind w:firstLine="560" w:firstLineChars="200"/>
        <w:outlineLvl w:val="0"/>
        <w:rPr>
          <w:rFonts w:ascii="Times New Roman" w:hAnsi="Times New Roman" w:eastAsia="仿宋_GB2312" w:cs="Arial"/>
          <w:sz w:val="28"/>
          <w:szCs w:val="32"/>
        </w:rPr>
      </w:pPr>
      <w:r>
        <w:rPr>
          <w:rFonts w:hint="eastAsia" w:ascii="Times New Roman" w:hAnsi="Times New Roman" w:eastAsia="仿宋_GB2312" w:cs="Arial"/>
          <w:sz w:val="28"/>
          <w:szCs w:val="32"/>
        </w:rPr>
        <w:t>本指南作为《银行电子回单</w:t>
      </w:r>
      <w:r>
        <w:rPr>
          <w:rFonts w:hint="eastAsia" w:ascii="Times New Roman" w:hAnsi="Times New Roman" w:eastAsia="仿宋_GB2312" w:cs="Arial"/>
          <w:sz w:val="28"/>
          <w:szCs w:val="32"/>
          <w:lang w:eastAsia="zh-CN"/>
        </w:rPr>
        <w:t>标准</w:t>
      </w:r>
      <w:r>
        <w:rPr>
          <w:rFonts w:hint="eastAsia" w:ascii="Times New Roman" w:hAnsi="Times New Roman" w:eastAsia="仿宋_GB2312" w:cs="Arial"/>
          <w:sz w:val="28"/>
          <w:szCs w:val="32"/>
        </w:rPr>
        <w:t>》使用和实例文档解析的说明文件，应与元素清单一并阅读，旨在帮助软件开发商和银行电子回单的接收单位了解《银行电子回单</w:t>
      </w:r>
      <w:r>
        <w:rPr>
          <w:rFonts w:hint="eastAsia" w:ascii="Times New Roman" w:hAnsi="Times New Roman" w:eastAsia="仿宋_GB2312" w:cs="Arial"/>
          <w:sz w:val="28"/>
          <w:szCs w:val="32"/>
          <w:lang w:eastAsia="zh-CN"/>
        </w:rPr>
        <w:t>标准</w:t>
      </w:r>
      <w:r>
        <w:rPr>
          <w:rFonts w:hint="eastAsia" w:ascii="Times New Roman" w:hAnsi="Times New Roman" w:eastAsia="仿宋_GB2312" w:cs="Arial"/>
          <w:sz w:val="28"/>
          <w:szCs w:val="32"/>
        </w:rPr>
        <w:t>》的架构、内容以及实例文档的要素和解析方式。</w:t>
      </w:r>
    </w:p>
    <w:p>
      <w:pPr>
        <w:pStyle w:val="8"/>
        <w:numPr>
          <w:ilvl w:val="0"/>
          <w:numId w:val="1"/>
        </w:numPr>
        <w:wordWrap/>
        <w:spacing w:line="560" w:lineRule="exact"/>
        <w:ind w:firstLineChars="0"/>
        <w:outlineLvl w:val="0"/>
      </w:pPr>
      <w:r>
        <w:rPr>
          <w:rFonts w:hint="eastAsia"/>
        </w:rPr>
        <w:t>概述</w:t>
      </w:r>
    </w:p>
    <w:p>
      <w:pPr>
        <w:pStyle w:val="10"/>
        <w:numPr>
          <w:ilvl w:val="0"/>
          <w:numId w:val="2"/>
        </w:numPr>
        <w:wordWrap/>
        <w:spacing w:line="560" w:lineRule="exact"/>
        <w:ind w:firstLine="560"/>
        <w:outlineLvl w:val="1"/>
        <w:rPr>
          <w:rFonts w:ascii="Times New Roman" w:hAnsi="Times New Roman"/>
        </w:rPr>
      </w:pPr>
      <w:r>
        <w:rPr>
          <w:rFonts w:hint="eastAsia" w:ascii="Times New Roman" w:hAnsi="Times New Roman"/>
        </w:rPr>
        <w:t>银行电子回单介绍</w:t>
      </w:r>
    </w:p>
    <w:p>
      <w:pPr>
        <w:spacing w:after="0" w:line="560" w:lineRule="exact"/>
        <w:ind w:firstLine="560" w:firstLineChars="200"/>
        <w:jc w:val="both"/>
        <w:rPr>
          <w:rFonts w:ascii="Times New Roman" w:hAnsi="Times New Roman" w:eastAsia="仿宋_GB2312"/>
          <w:sz w:val="28"/>
          <w:szCs w:val="28"/>
        </w:rPr>
      </w:pPr>
      <w:r>
        <w:rPr>
          <w:rFonts w:hint="eastAsia" w:ascii="Times New Roman" w:hAnsi="Times New Roman" w:eastAsia="仿宋_GB2312"/>
          <w:sz w:val="28"/>
          <w:szCs w:val="28"/>
        </w:rPr>
        <w:t>电子回单是银行以电子文件的形式记录您的账户在发生收付款交易后收付款相关信息的凭据。</w:t>
      </w:r>
    </w:p>
    <w:p>
      <w:pPr>
        <w:pStyle w:val="10"/>
        <w:numPr>
          <w:ilvl w:val="0"/>
          <w:numId w:val="2"/>
        </w:numPr>
        <w:wordWrap/>
        <w:spacing w:line="560" w:lineRule="exact"/>
        <w:ind w:firstLine="560"/>
        <w:outlineLvl w:val="1"/>
        <w:rPr>
          <w:rFonts w:ascii="Times New Roman" w:hAnsi="Times New Roman"/>
        </w:rPr>
      </w:pPr>
      <w:r>
        <w:rPr>
          <w:rFonts w:hint="eastAsia"/>
        </w:rPr>
        <w:t>开具端和接收端工作简介</w:t>
      </w:r>
    </w:p>
    <w:p>
      <w:pPr>
        <w:spacing w:after="0" w:line="560" w:lineRule="exact"/>
        <w:ind w:firstLine="560" w:firstLineChars="200"/>
        <w:jc w:val="both"/>
      </w:pPr>
      <w:r>
        <w:rPr>
          <w:rFonts w:hint="eastAsia" w:ascii="Times New Roman" w:hAnsi="Times New Roman" w:eastAsia="仿宋_GB2312"/>
          <w:sz w:val="28"/>
          <w:szCs w:val="28"/>
        </w:rPr>
        <w:t>企业、单位在银行开立的账号发生收付款后，银行电子回单的开具方将电子回单结构化数据通过X</w:t>
      </w:r>
      <w:r>
        <w:rPr>
          <w:rFonts w:ascii="Times New Roman" w:hAnsi="Times New Roman" w:eastAsia="仿宋_GB2312"/>
          <w:sz w:val="28"/>
          <w:szCs w:val="28"/>
        </w:rPr>
        <w:t>BRL</w:t>
      </w:r>
      <w:r>
        <w:rPr>
          <w:rFonts w:hint="eastAsia" w:ascii="Times New Roman" w:hAnsi="Times New Roman" w:eastAsia="仿宋_GB2312"/>
          <w:sz w:val="28"/>
          <w:szCs w:val="28"/>
        </w:rPr>
        <w:t>工具包生成实例文档并封装到OFD版式文件中，形成电子凭证银行回单。接收方获取电子凭证文件后，通过X</w:t>
      </w:r>
      <w:r>
        <w:rPr>
          <w:rFonts w:ascii="Times New Roman" w:hAnsi="Times New Roman" w:eastAsia="仿宋_GB2312"/>
          <w:sz w:val="28"/>
          <w:szCs w:val="28"/>
        </w:rPr>
        <w:t>BRL</w:t>
      </w:r>
      <w:r>
        <w:rPr>
          <w:rFonts w:hint="eastAsia" w:ascii="Times New Roman" w:hAnsi="Times New Roman" w:eastAsia="仿宋_GB2312"/>
          <w:sz w:val="28"/>
          <w:szCs w:val="28"/>
        </w:rPr>
        <w:t>工具包解析银行回单底层的结构化数据并同步标记回单状态。企业、单位在使用电子凭证入账时，财务共享系统将即时回传回单状态信息和相关会计信息，生成包含有回单状态信息、会计主体信息和基础会计信息的XBRL格式的实例文档数据进行归档备查。</w:t>
      </w:r>
    </w:p>
    <w:p>
      <w:pPr>
        <w:pStyle w:val="8"/>
        <w:numPr>
          <w:ilvl w:val="0"/>
          <w:numId w:val="1"/>
        </w:numPr>
        <w:wordWrap/>
        <w:spacing w:line="560" w:lineRule="exact"/>
        <w:ind w:firstLineChars="0"/>
        <w:outlineLvl w:val="0"/>
      </w:pPr>
      <w:r>
        <w:rPr>
          <w:rFonts w:hint="eastAsia"/>
        </w:rPr>
        <w:t>银行电子回单开具方</w:t>
      </w:r>
    </w:p>
    <w:p>
      <w:pPr>
        <w:pStyle w:val="10"/>
        <w:numPr>
          <w:ilvl w:val="0"/>
          <w:numId w:val="3"/>
        </w:numPr>
        <w:wordWrap/>
        <w:spacing w:line="560" w:lineRule="exact"/>
        <w:ind w:firstLine="560" w:firstLineChars="0"/>
        <w:outlineLvl w:val="1"/>
      </w:pPr>
      <w:r>
        <w:rPr>
          <w:rFonts w:hint="eastAsia"/>
        </w:rPr>
        <w:t>银行电子回单</w:t>
      </w:r>
      <w:r>
        <w:rPr>
          <w:rFonts w:hint="eastAsia"/>
          <w:lang w:val="en-GB"/>
        </w:rPr>
        <w:t>示例-XBRL</w:t>
      </w:r>
    </w:p>
    <w:p>
      <w:pPr>
        <w:spacing w:after="0" w:line="560" w:lineRule="exact"/>
        <w:ind w:firstLine="560" w:firstLineChars="200"/>
        <w:jc w:val="both"/>
        <w:rPr>
          <w:rFonts w:ascii="Times New Roman" w:hAnsi="Times New Roman" w:eastAsia="仿宋_GB2312"/>
          <w:sz w:val="28"/>
          <w:szCs w:val="28"/>
        </w:rPr>
      </w:pPr>
      <w:r>
        <w:rPr>
          <w:rFonts w:hint="eastAsia" w:ascii="Times New Roman" w:hAnsi="Times New Roman" w:eastAsia="仿宋_GB2312"/>
          <w:sz w:val="28"/>
          <w:szCs w:val="28"/>
        </w:rPr>
        <w:t>银行电子回单示例：</w:t>
      </w:r>
    </w:p>
    <w:tbl>
      <w:tblPr>
        <w:tblStyle w:val="6"/>
        <w:tblW w:w="963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9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c>
          <w:tcPr>
            <w:tcW w:w="9639" w:type="dxa"/>
            <w:shd w:val="clear" w:color="auto" w:fill="F1F1F1" w:themeFill="background1" w:themeFillShade="F2"/>
          </w:tcPr>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&lt;xbrli:xbrl xmlns:xsi="http://www.w3.org/2001/XMLSchema-instance" xsi:schemaLocation="http://www.xbrl.org/2003/linkbase http://www.xbrl.org/2003/xbrl-linkbase-2003-12-31.xsd" xmlns:bker="http://xbrl.mof.gov.cn/taxonomy/2023-05-15/bker" xmlns:link="http://www.xbrl.org/2003/linkbase" xmlns:iso4217="http://www.xbrl.org/2003/iso4217" xmlns:xlink="http://www.w3.org/1999/xlink" xmlns:xbrli="http://www.xbrl.org/2003/instance"&gt;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&lt;link:schemaRef xlink:type="simple" xlink:href="bker_issuer_entry_point_2023-05-15.xsd"/&gt;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&lt;xbrli:context id="c1"&gt;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&lt;xbrli:entity&gt;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&lt;xbrli:identifier scheme="http://xbrl.mof.gov.cn"&gt;C1030311000455&lt;/xbrli:identifier&gt;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&lt;/xbrli:entity&gt;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&lt;xbrli:period&gt;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&lt;xbrli:instant&gt;2019-12-31&lt;/xbrli:instant&gt;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&lt;/xbrli:period&gt;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&lt;/xbrli:context&gt;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&lt;xbrli:unit id="u1"&gt;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&lt;xbrli:measure&gt;iso4217:CNY&lt;/xbrli:measure&gt;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&lt;/xbrli:unit&gt;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&lt;bker:NumberOfBankElectronicReceipt contextRef="c1"&gt;201903039029660024300000000001&lt;/bker:NumberOfBankElectronicReceipt&gt;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&lt;bker:IdentificationCodeOfIssuer contextRef="c1"&gt;C1030311000455&lt;/bker:IdentificationCodeOfIssuer&gt;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&lt;bker:IssueDate contextRef="c1"&gt;2019-12-31&lt;/bker:IssueDate&gt;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&lt;bker:TypeOfBankElectronicReceipt contextRef="c1"&gt;普通回单&lt;/bker:TypeOfBankElectronicReceipt&gt;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&lt;bker:IdentificationOfCreditOrDebit contextRef="c1"&gt;0&lt;/bker:IdentificationOfCreditOrDebit&gt;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&lt;bker:IdentificationOfCashOrTransfer contextRef="c1"&gt;1&lt;/bker:IdentificationOfCashOrTransfer&gt;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&lt;bker:DateOfBookkeeping contextRef="c1"&gt;2019-11-30&lt;/bker:DateOfBookkeeping&gt;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&lt;bker:Bookkeeper contextRef="c1"&gt;张三&lt;/bker:Bookkeeper&gt;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&lt;bker:JournalAccountOfBookkeeping contextRef="c1"&gt;XX交易记录&lt;/bker:JournalAccountOfBookkeeping&gt;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&lt;bker:Currency contextRef="c1"&gt;CNY&lt;/bker:Currency&gt;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&lt;bker:TransactionAmountInFigures decimals="2" contextRef="c1" unitRef="u1"&gt;1000000.00&lt;/bker:TransactionAmountInFigures&gt;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&lt;bker:TypeOfSourceDocument contextRef="c1"&gt;支票&lt;/bker:TypeOfSourceDocument&gt;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&lt;bker:NumberOfSourceDocument contextRef="c1"&gt;0987654321&lt;/bker:NumberOfSourceDocument&gt;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&lt;bker:TransactionCode contextRef="c1"&gt;42062&lt;/bker:TransactionCode&gt;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&lt;bker:Notes contextRef="c1"&gt;转账业务&lt;/bker:Notes&gt;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&lt;bker:AccountNameOfPayer contextRef="c1"&gt;上海商务电子有限公司&lt;/bker:AccountNameOfPayer&gt;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&lt;bker:AccountNumberOfPayer contextRef="c1"&gt;6226000100010001&lt;/bker:AccountNumberOfPayer&gt;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&lt;bker:OpeningBankOfPayer contextRef="c1"&gt;中国光大银行XX支行&lt;/bker:OpeningBankOfPayer&gt;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&lt;bker:AccountNumberOfPayee contextRef="c1"&gt;6226000200020002&lt;/bker:AccountNumberOfPayee&gt;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&lt;bker:AccountNameOfPayee contextRef="c1"&gt;天隆超市有限公司&lt;/bker:AccountNameOfPayee&gt;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&lt;bker:OpeningBankOfPayee contextRef="c1"&gt;中国光大银行XX支行&lt;/bker:OpeningBankOfPayee&gt;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&lt;bker:AccountNumberOfRecipient contextRef="c1"&gt;1234567890&lt;/bker:AccountNumberOfRecipient&gt;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&lt;bker:IdentificationNumberOfRecipient contextRef="c1"&gt;110101196012315729&lt;/bker:IdentificationNumberOfRecipient&gt;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&lt;bker:BusinessProductType contextRef="c1"&gt;同行转账&lt;/bker:BusinessProductType&gt;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&lt;bker:ChannelType contextRef="c1"&gt;柜面交易&lt;/bker:ChannelType&gt;</w:t>
            </w:r>
          </w:p>
          <w:p>
            <w:pPr>
              <w:wordWrap w:val="0"/>
              <w:spacing w:after="0"/>
              <w:ind w:firstLine="480" w:firstLineChars="200"/>
              <w:jc w:val="both"/>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  &lt;bker:Usage contextRef="c1"&gt;支付供应商款项&lt;/bker:Usage&gt;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&lt;bker:TimeOfBookkeeping contextRef="c1"&gt;15:07:11&lt;/bker:TimeOfBookkeeping&gt;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&lt;bker:IdentifyingCode contextRef="c1"&gt;C10303110004552019030390296600243000000000019444&lt;/bker:IdentifyingCode&gt;</w:t>
            </w:r>
          </w:p>
          <w:p>
            <w:pPr>
              <w:wordWrap w:val="0"/>
              <w:spacing w:after="0"/>
              <w:ind w:firstLine="480" w:firstLineChars="200"/>
              <w:jc w:val="both"/>
              <w:rPr>
                <w:rFonts w:ascii="Times New Roman" w:hAnsi="Times New Roman" w:eastAsia="仿宋_GB2312" w:cs="Times New Roman"/>
                <w:sz w:val="24"/>
                <w:szCs w:val="24"/>
              </w:rPr>
            </w:pPr>
            <w:r>
              <w:rPr>
                <w:rFonts w:ascii="Times New Roman" w:hAnsi="Times New Roman" w:eastAsia="仿宋_GB2312" w:cs="Times New Roman"/>
                <w:sz w:val="24"/>
                <w:szCs w:val="24"/>
              </w:rPr>
              <w:t xml:space="preserve">  &lt;bker:BusinessSerialNumber contextRef="c1"&gt;XXXXXXXXXX&lt;/bker:BusinessSerialNumber&gt;</w:t>
            </w:r>
          </w:p>
          <w:p>
            <w:pPr>
              <w:wordWrap w:val="0"/>
              <w:spacing w:after="0"/>
              <w:ind w:firstLine="480" w:firstLineChars="200"/>
              <w:jc w:val="both"/>
              <w:rPr>
                <w:sz w:val="24"/>
                <w:szCs w:val="24"/>
              </w:rPr>
            </w:pPr>
            <w:r>
              <w:rPr>
                <w:rFonts w:ascii="Times New Roman" w:hAnsi="Times New Roman" w:eastAsia="仿宋_GB2312" w:cs="Times New Roman"/>
                <w:sz w:val="24"/>
                <w:szCs w:val="24"/>
              </w:rPr>
              <w:t>&lt;/xbrli:xbrl&gt;</w:t>
            </w:r>
          </w:p>
        </w:tc>
      </w:tr>
    </w:tbl>
    <w:p>
      <w:pPr>
        <w:pStyle w:val="10"/>
        <w:numPr>
          <w:ilvl w:val="0"/>
          <w:numId w:val="3"/>
        </w:numPr>
        <w:wordWrap/>
        <w:spacing w:line="560" w:lineRule="exact"/>
        <w:ind w:firstLine="560" w:firstLineChars="0"/>
        <w:outlineLvl w:val="1"/>
      </w:pPr>
      <w:r>
        <w:rPr>
          <w:rFonts w:hint="eastAsia"/>
        </w:rPr>
        <w:t>《银行电子回单</w:t>
      </w:r>
      <w:r>
        <w:rPr>
          <w:rFonts w:hint="eastAsia"/>
          <w:lang w:eastAsia="zh-CN"/>
        </w:rPr>
        <w:t>标准</w:t>
      </w:r>
      <w:r>
        <w:rPr>
          <w:rFonts w:hint="eastAsia"/>
        </w:rPr>
        <w:t>》开具方内容架构</w:t>
      </w:r>
    </w:p>
    <w:p>
      <w:pPr>
        <w:spacing w:after="0" w:line="560" w:lineRule="exact"/>
        <w:ind w:firstLine="560" w:firstLineChars="200"/>
        <w:jc w:val="both"/>
        <w:rPr>
          <w:rFonts w:ascii="Times New Roman" w:hAnsi="Times New Roman" w:eastAsia="仿宋_GB2312"/>
          <w:sz w:val="28"/>
          <w:szCs w:val="28"/>
        </w:rPr>
      </w:pPr>
      <w:r>
        <w:rPr>
          <w:rFonts w:hint="eastAsia" w:ascii="Times New Roman" w:hAnsi="Times New Roman" w:eastAsia="仿宋_GB2312"/>
          <w:sz w:val="28"/>
          <w:szCs w:val="28"/>
          <w:lang w:eastAsia="zh-CN"/>
        </w:rPr>
        <w:t>本标准</w:t>
      </w:r>
      <w:r>
        <w:rPr>
          <w:rFonts w:hint="eastAsia" w:ascii="Times New Roman" w:hAnsi="Times New Roman" w:eastAsia="仿宋_GB2312"/>
          <w:sz w:val="28"/>
          <w:szCs w:val="28"/>
        </w:rPr>
        <w:t>将银行电子回单的部分票面信息以及通过银行电子回单进行开具、报销、入账、归档过程中需要的信息进行了XBRL标记，并将信息根据业务流程划分为开具方和接收方两类，表1列示了</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标记的开具方字段。</w:t>
      </w:r>
    </w:p>
    <w:p>
      <w:pPr>
        <w:pStyle w:val="11"/>
        <w:wordWrap/>
        <w:spacing w:after="0" w:line="560" w:lineRule="exact"/>
        <w:ind w:firstLine="0" w:firstLineChars="0"/>
        <w:jc w:val="center"/>
        <w:rPr>
          <w:b/>
          <w:bCs/>
          <w:sz w:val="24"/>
          <w:szCs w:val="24"/>
        </w:rPr>
      </w:pPr>
      <w:r>
        <w:rPr>
          <w:rFonts w:hint="eastAsia"/>
          <w:b/>
          <w:bCs/>
          <w:sz w:val="24"/>
          <w:szCs w:val="24"/>
        </w:rPr>
        <w:t xml:space="preserve">表 </w:t>
      </w:r>
      <w:r>
        <w:rPr>
          <w:bCs/>
          <w:sz w:val="24"/>
          <w:szCs w:val="24"/>
        </w:rPr>
        <w:fldChar w:fldCharType="begin"/>
      </w:r>
      <w:r>
        <w:rPr>
          <w:bCs/>
          <w:sz w:val="24"/>
          <w:szCs w:val="24"/>
        </w:rPr>
        <w:instrText xml:space="preserve"> </w:instrText>
      </w:r>
      <w:r>
        <w:rPr>
          <w:rFonts w:hint="eastAsia"/>
          <w:bCs/>
          <w:sz w:val="24"/>
          <w:szCs w:val="24"/>
        </w:rPr>
        <w:instrText xml:space="preserve">SEQ 表 \* ARABIC</w:instrText>
      </w:r>
      <w:r>
        <w:rPr>
          <w:bCs/>
          <w:sz w:val="24"/>
          <w:szCs w:val="24"/>
        </w:rPr>
        <w:instrText xml:space="preserve"> </w:instrText>
      </w:r>
      <w:r>
        <w:rPr>
          <w:bCs/>
          <w:sz w:val="24"/>
          <w:szCs w:val="24"/>
        </w:rPr>
        <w:fldChar w:fldCharType="separate"/>
      </w:r>
      <w:r>
        <w:rPr>
          <w:bCs/>
          <w:sz w:val="24"/>
          <w:szCs w:val="24"/>
        </w:rPr>
        <w:t>1</w:t>
      </w:r>
      <w:r>
        <w:rPr>
          <w:bCs/>
          <w:sz w:val="24"/>
          <w:szCs w:val="24"/>
        </w:rPr>
        <w:fldChar w:fldCharType="end"/>
      </w:r>
      <w:r>
        <w:rPr>
          <w:rFonts w:hint="eastAsia"/>
          <w:b/>
          <w:bCs/>
          <w:sz w:val="24"/>
          <w:szCs w:val="24"/>
        </w:rPr>
        <w:t>：《银行电子回单</w:t>
      </w:r>
      <w:r>
        <w:rPr>
          <w:rFonts w:hint="eastAsia"/>
          <w:b/>
          <w:bCs/>
          <w:sz w:val="24"/>
          <w:szCs w:val="24"/>
          <w:lang w:eastAsia="zh-CN"/>
        </w:rPr>
        <w:t>标准</w:t>
      </w:r>
      <w:r>
        <w:rPr>
          <w:rFonts w:hint="eastAsia"/>
          <w:b/>
          <w:bCs/>
          <w:sz w:val="24"/>
          <w:szCs w:val="24"/>
        </w:rPr>
        <w:t>》（开具方）标记内容</w:t>
      </w:r>
    </w:p>
    <w:tbl>
      <w:tblPr>
        <w:tblStyle w:val="5"/>
        <w:tblW w:w="8430"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701"/>
        <w:gridCol w:w="1258"/>
        <w:gridCol w:w="1982"/>
        <w:gridCol w:w="1229"/>
        <w:gridCol w:w="3260"/>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6" w:hRule="atLeast"/>
          <w:tblHeader/>
          <w:jc w:val="center"/>
        </w:trPr>
        <w:tc>
          <w:tcPr>
            <w:tcW w:w="701" w:type="dxa"/>
            <w:shd w:val="clear" w:color="auto" w:fill="auto"/>
            <w:noWrap/>
            <w:vAlign w:val="center"/>
          </w:tcPr>
          <w:p>
            <w:pPr>
              <w:pStyle w:val="11"/>
              <w:spacing w:after="0"/>
              <w:ind w:firstLine="0" w:firstLineChars="0"/>
              <w:jc w:val="center"/>
              <w:rPr>
                <w:b/>
                <w:bCs/>
                <w:sz w:val="24"/>
                <w:szCs w:val="28"/>
              </w:rPr>
            </w:pPr>
            <w:r>
              <w:rPr>
                <w:rFonts w:hint="eastAsia"/>
                <w:b/>
                <w:bCs/>
                <w:sz w:val="24"/>
                <w:szCs w:val="28"/>
              </w:rPr>
              <w:t>序号</w:t>
            </w:r>
          </w:p>
        </w:tc>
        <w:tc>
          <w:tcPr>
            <w:tcW w:w="1258" w:type="dxa"/>
            <w:shd w:val="clear" w:color="auto" w:fill="auto"/>
            <w:noWrap/>
            <w:vAlign w:val="center"/>
          </w:tcPr>
          <w:p>
            <w:pPr>
              <w:pStyle w:val="11"/>
              <w:spacing w:after="0"/>
              <w:ind w:firstLine="0" w:firstLineChars="0"/>
              <w:jc w:val="center"/>
              <w:rPr>
                <w:b/>
                <w:bCs/>
                <w:sz w:val="24"/>
                <w:szCs w:val="28"/>
              </w:rPr>
            </w:pPr>
            <w:r>
              <w:rPr>
                <w:rFonts w:hint="eastAsia"/>
                <w:b/>
                <w:bCs/>
                <w:sz w:val="24"/>
                <w:szCs w:val="28"/>
              </w:rPr>
              <w:t>分组名称</w:t>
            </w:r>
          </w:p>
        </w:tc>
        <w:tc>
          <w:tcPr>
            <w:tcW w:w="1982" w:type="dxa"/>
            <w:shd w:val="clear" w:color="auto" w:fill="auto"/>
            <w:noWrap/>
            <w:vAlign w:val="center"/>
          </w:tcPr>
          <w:p>
            <w:pPr>
              <w:pStyle w:val="11"/>
              <w:spacing w:after="0"/>
              <w:ind w:firstLine="0" w:firstLineChars="0"/>
              <w:jc w:val="center"/>
              <w:rPr>
                <w:b/>
                <w:bCs/>
                <w:sz w:val="24"/>
                <w:szCs w:val="28"/>
              </w:rPr>
            </w:pPr>
            <w:r>
              <w:rPr>
                <w:rFonts w:hint="eastAsia"/>
                <w:b/>
                <w:bCs/>
                <w:sz w:val="24"/>
                <w:szCs w:val="28"/>
              </w:rPr>
              <w:t>字段名称</w:t>
            </w:r>
          </w:p>
        </w:tc>
        <w:tc>
          <w:tcPr>
            <w:tcW w:w="1229" w:type="dxa"/>
            <w:shd w:val="clear" w:color="auto" w:fill="auto"/>
            <w:noWrap/>
            <w:vAlign w:val="center"/>
          </w:tcPr>
          <w:p>
            <w:pPr>
              <w:pStyle w:val="11"/>
              <w:spacing w:after="0"/>
              <w:ind w:firstLine="0" w:firstLineChars="0"/>
              <w:jc w:val="center"/>
              <w:rPr>
                <w:b/>
                <w:bCs/>
                <w:sz w:val="24"/>
                <w:szCs w:val="28"/>
              </w:rPr>
            </w:pPr>
            <w:r>
              <w:rPr>
                <w:rFonts w:hint="eastAsia"/>
                <w:b/>
                <w:bCs/>
                <w:sz w:val="24"/>
                <w:szCs w:val="28"/>
              </w:rPr>
              <w:t>数值类型</w:t>
            </w:r>
          </w:p>
        </w:tc>
        <w:tc>
          <w:tcPr>
            <w:tcW w:w="3260" w:type="dxa"/>
            <w:shd w:val="clear" w:color="auto" w:fill="auto"/>
            <w:noWrap/>
            <w:vAlign w:val="center"/>
          </w:tcPr>
          <w:p>
            <w:pPr>
              <w:pStyle w:val="11"/>
              <w:spacing w:after="0"/>
              <w:ind w:firstLine="0" w:firstLineChars="0"/>
              <w:jc w:val="center"/>
              <w:rPr>
                <w:b/>
                <w:bCs/>
                <w:sz w:val="24"/>
                <w:szCs w:val="28"/>
              </w:rPr>
            </w:pPr>
            <w:r>
              <w:rPr>
                <w:rFonts w:hint="eastAsia"/>
                <w:b/>
                <w:bCs/>
                <w:sz w:val="24"/>
                <w:szCs w:val="28"/>
              </w:rPr>
              <w:t>说明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1</w:t>
            </w:r>
          </w:p>
        </w:tc>
        <w:tc>
          <w:tcPr>
            <w:tcW w:w="1258" w:type="dxa"/>
            <w:vMerge w:val="restart"/>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 xml:space="preserve">回单抬头信息 </w:t>
            </w:r>
          </w:p>
        </w:tc>
        <w:tc>
          <w:tcPr>
            <w:tcW w:w="1982"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校验码</w:t>
            </w:r>
          </w:p>
        </w:tc>
        <w:tc>
          <w:tcPr>
            <w:tcW w:w="1229"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字符型</w:t>
            </w:r>
          </w:p>
        </w:tc>
        <w:tc>
          <w:tcPr>
            <w:tcW w:w="3260" w:type="dxa"/>
            <w:shd w:val="clear" w:color="auto" w:fill="auto"/>
            <w:noWrap/>
          </w:tcPr>
          <w:p>
            <w:pPr>
              <w:pStyle w:val="11"/>
              <w:wordWrap/>
              <w:spacing w:after="0" w:line="240" w:lineRule="auto"/>
              <w:ind w:firstLine="0" w:firstLineChars="0"/>
              <w:rPr>
                <w:bCs/>
                <w:sz w:val="24"/>
                <w:szCs w:val="24"/>
              </w:rPr>
            </w:pPr>
            <w:r>
              <w:rPr>
                <w:rFonts w:hint="eastAsia"/>
                <w:bCs/>
                <w:sz w:val="24"/>
                <w:szCs w:val="24"/>
              </w:rPr>
              <w:t>校验码由银行电子回单签发机构、回单编号和校验位共同构成，作为银行电子回单的唯一识别</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2</w:t>
            </w:r>
          </w:p>
        </w:tc>
        <w:tc>
          <w:tcPr>
            <w:tcW w:w="1258" w:type="dxa"/>
            <w:vMerge w:val="continue"/>
            <w:vAlign w:val="center"/>
          </w:tcPr>
          <w:p>
            <w:pPr>
              <w:pStyle w:val="11"/>
              <w:wordWrap/>
              <w:spacing w:after="0" w:line="240" w:lineRule="auto"/>
              <w:ind w:firstLine="0" w:firstLineChars="0"/>
              <w:jc w:val="center"/>
              <w:rPr>
                <w:bCs/>
                <w:sz w:val="24"/>
                <w:szCs w:val="24"/>
              </w:rPr>
            </w:pPr>
          </w:p>
        </w:tc>
        <w:tc>
          <w:tcPr>
            <w:tcW w:w="1982"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银行电子回单编号</w:t>
            </w:r>
          </w:p>
        </w:tc>
        <w:tc>
          <w:tcPr>
            <w:tcW w:w="1229"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字符型</w:t>
            </w:r>
          </w:p>
        </w:tc>
        <w:tc>
          <w:tcPr>
            <w:tcW w:w="3260" w:type="dxa"/>
            <w:shd w:val="clear" w:color="auto" w:fill="auto"/>
            <w:noWrap/>
          </w:tcPr>
          <w:p>
            <w:pPr>
              <w:pStyle w:val="11"/>
              <w:wordWrap/>
              <w:spacing w:after="0" w:line="240" w:lineRule="auto"/>
              <w:ind w:firstLine="0" w:firstLineChars="0"/>
              <w:rPr>
                <w:bCs/>
                <w:sz w:val="24"/>
                <w:szCs w:val="24"/>
              </w:rPr>
            </w:pPr>
            <w:r>
              <w:rPr>
                <w:rFonts w:hint="eastAsia"/>
                <w:bCs/>
                <w:sz w:val="24"/>
                <w:szCs w:val="24"/>
              </w:rPr>
              <w:t>同一签发机构内回单编号唯一</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3</w:t>
            </w:r>
          </w:p>
        </w:tc>
        <w:tc>
          <w:tcPr>
            <w:tcW w:w="1258" w:type="dxa"/>
            <w:vMerge w:val="continue"/>
            <w:vAlign w:val="center"/>
          </w:tcPr>
          <w:p>
            <w:pPr>
              <w:pStyle w:val="11"/>
              <w:wordWrap/>
              <w:spacing w:after="0" w:line="240" w:lineRule="auto"/>
              <w:ind w:firstLine="0" w:firstLineChars="0"/>
              <w:jc w:val="center"/>
              <w:rPr>
                <w:bCs/>
                <w:sz w:val="24"/>
                <w:szCs w:val="24"/>
              </w:rPr>
            </w:pPr>
          </w:p>
        </w:tc>
        <w:tc>
          <w:tcPr>
            <w:tcW w:w="1982"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银行电子回单类型</w:t>
            </w:r>
          </w:p>
        </w:tc>
        <w:tc>
          <w:tcPr>
            <w:tcW w:w="1229"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字符型</w:t>
            </w:r>
          </w:p>
        </w:tc>
        <w:tc>
          <w:tcPr>
            <w:tcW w:w="3260" w:type="dxa"/>
            <w:shd w:val="clear" w:color="auto" w:fill="auto"/>
            <w:noWrap/>
          </w:tcPr>
          <w:p>
            <w:pPr>
              <w:pStyle w:val="11"/>
              <w:wordWrap/>
              <w:spacing w:after="0" w:line="240" w:lineRule="auto"/>
              <w:ind w:firstLine="0" w:firstLineChars="0"/>
              <w:rPr>
                <w:bCs/>
                <w:sz w:val="24"/>
                <w:szCs w:val="24"/>
              </w:rPr>
            </w:pPr>
            <w:r>
              <w:rPr>
                <w:rFonts w:hint="eastAsia"/>
                <w:bCs/>
                <w:sz w:val="24"/>
                <w:szCs w:val="24"/>
              </w:rPr>
              <w:t>回单类型需自定义，如普通回单、计息回单等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4</w:t>
            </w:r>
          </w:p>
        </w:tc>
        <w:tc>
          <w:tcPr>
            <w:tcW w:w="1258" w:type="dxa"/>
            <w:vMerge w:val="continue"/>
            <w:vAlign w:val="center"/>
          </w:tcPr>
          <w:p>
            <w:pPr>
              <w:pStyle w:val="11"/>
              <w:wordWrap/>
              <w:spacing w:after="0" w:line="240" w:lineRule="auto"/>
              <w:ind w:firstLine="0" w:firstLineChars="0"/>
              <w:jc w:val="center"/>
              <w:rPr>
                <w:bCs/>
                <w:sz w:val="24"/>
                <w:szCs w:val="24"/>
              </w:rPr>
            </w:pPr>
          </w:p>
        </w:tc>
        <w:tc>
          <w:tcPr>
            <w:tcW w:w="1982"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签发机构</w:t>
            </w:r>
          </w:p>
        </w:tc>
        <w:tc>
          <w:tcPr>
            <w:tcW w:w="1229"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字符型</w:t>
            </w:r>
          </w:p>
        </w:tc>
        <w:tc>
          <w:tcPr>
            <w:tcW w:w="3260" w:type="dxa"/>
            <w:shd w:val="clear" w:color="auto" w:fill="auto"/>
            <w:noWrap/>
          </w:tcPr>
          <w:p>
            <w:pPr>
              <w:pStyle w:val="11"/>
              <w:wordWrap/>
              <w:spacing w:after="0" w:line="240" w:lineRule="auto"/>
              <w:ind w:firstLine="0" w:firstLineChars="0"/>
              <w:rPr>
                <w:bCs/>
                <w:sz w:val="24"/>
                <w:szCs w:val="24"/>
              </w:rPr>
            </w:pPr>
            <w:r>
              <w:rPr>
                <w:rFonts w:hint="eastAsia"/>
                <w:bCs/>
                <w:sz w:val="24"/>
                <w:szCs w:val="24"/>
              </w:rPr>
              <w:t>银行总行金融机构代码证编号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5</w:t>
            </w:r>
          </w:p>
        </w:tc>
        <w:tc>
          <w:tcPr>
            <w:tcW w:w="1258" w:type="dxa"/>
            <w:vMerge w:val="continue"/>
            <w:vAlign w:val="center"/>
          </w:tcPr>
          <w:p>
            <w:pPr>
              <w:pStyle w:val="11"/>
              <w:wordWrap/>
              <w:spacing w:after="0" w:line="240" w:lineRule="auto"/>
              <w:ind w:firstLine="0" w:firstLineChars="0"/>
              <w:jc w:val="center"/>
              <w:rPr>
                <w:bCs/>
                <w:sz w:val="24"/>
                <w:szCs w:val="24"/>
              </w:rPr>
            </w:pPr>
          </w:p>
        </w:tc>
        <w:tc>
          <w:tcPr>
            <w:tcW w:w="1982"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签发日期</w:t>
            </w:r>
          </w:p>
        </w:tc>
        <w:tc>
          <w:tcPr>
            <w:tcW w:w="1229"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日期型</w:t>
            </w:r>
          </w:p>
        </w:tc>
        <w:tc>
          <w:tcPr>
            <w:tcW w:w="3260" w:type="dxa"/>
            <w:shd w:val="clear" w:color="auto" w:fill="auto"/>
            <w:noWrap/>
            <w:vAlign w:val="center"/>
          </w:tcPr>
          <w:p>
            <w:pPr>
              <w:pStyle w:val="11"/>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6</w:t>
            </w:r>
          </w:p>
        </w:tc>
        <w:tc>
          <w:tcPr>
            <w:tcW w:w="1258" w:type="dxa"/>
            <w:vMerge w:val="restart"/>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回单详细信息</w:t>
            </w:r>
          </w:p>
        </w:tc>
        <w:tc>
          <w:tcPr>
            <w:tcW w:w="1982"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借贷标志</w:t>
            </w:r>
          </w:p>
        </w:tc>
        <w:tc>
          <w:tcPr>
            <w:tcW w:w="1229"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字符型</w:t>
            </w:r>
          </w:p>
        </w:tc>
        <w:tc>
          <w:tcPr>
            <w:tcW w:w="3260" w:type="dxa"/>
            <w:shd w:val="clear" w:color="auto" w:fill="auto"/>
            <w:noWrap/>
            <w:vAlign w:val="center"/>
          </w:tcPr>
          <w:p>
            <w:pPr>
              <w:pStyle w:val="11"/>
              <w:wordWrap/>
              <w:spacing w:after="0" w:line="240" w:lineRule="auto"/>
              <w:ind w:firstLine="0" w:firstLineChars="0"/>
              <w:rPr>
                <w:bCs/>
                <w:sz w:val="24"/>
                <w:szCs w:val="24"/>
              </w:rPr>
            </w:pPr>
            <w:r>
              <w:rPr>
                <w:rFonts w:hint="eastAsia"/>
                <w:bCs/>
                <w:sz w:val="24"/>
                <w:szCs w:val="24"/>
              </w:rPr>
              <w:t>借贷标志中0代表借方，1代表贷方</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7</w:t>
            </w:r>
          </w:p>
        </w:tc>
        <w:tc>
          <w:tcPr>
            <w:tcW w:w="1258" w:type="dxa"/>
            <w:vMerge w:val="continue"/>
            <w:vAlign w:val="center"/>
          </w:tcPr>
          <w:p>
            <w:pPr>
              <w:pStyle w:val="11"/>
              <w:wordWrap/>
              <w:spacing w:after="0" w:line="240" w:lineRule="auto"/>
              <w:ind w:firstLine="0" w:firstLineChars="0"/>
              <w:jc w:val="center"/>
              <w:rPr>
                <w:bCs/>
                <w:sz w:val="24"/>
                <w:szCs w:val="24"/>
              </w:rPr>
            </w:pPr>
          </w:p>
        </w:tc>
        <w:tc>
          <w:tcPr>
            <w:tcW w:w="1982"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现转标志</w:t>
            </w:r>
          </w:p>
        </w:tc>
        <w:tc>
          <w:tcPr>
            <w:tcW w:w="1229"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字符型</w:t>
            </w:r>
          </w:p>
        </w:tc>
        <w:tc>
          <w:tcPr>
            <w:tcW w:w="3260" w:type="dxa"/>
            <w:shd w:val="clear" w:color="auto" w:fill="auto"/>
            <w:noWrap/>
            <w:vAlign w:val="center"/>
          </w:tcPr>
          <w:p>
            <w:pPr>
              <w:pStyle w:val="11"/>
              <w:wordWrap/>
              <w:spacing w:after="0" w:line="240" w:lineRule="auto"/>
              <w:ind w:firstLine="0" w:firstLineChars="0"/>
              <w:rPr>
                <w:bCs/>
                <w:sz w:val="24"/>
                <w:szCs w:val="24"/>
              </w:rPr>
            </w:pPr>
            <w:r>
              <w:rPr>
                <w:rFonts w:hint="eastAsia"/>
                <w:bCs/>
                <w:sz w:val="24"/>
                <w:szCs w:val="24"/>
              </w:rPr>
              <w:t>现转标志中0代表现金，1代表转账</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8</w:t>
            </w:r>
          </w:p>
        </w:tc>
        <w:tc>
          <w:tcPr>
            <w:tcW w:w="1258" w:type="dxa"/>
            <w:vMerge w:val="continue"/>
            <w:vAlign w:val="center"/>
          </w:tcPr>
          <w:p>
            <w:pPr>
              <w:pStyle w:val="11"/>
              <w:wordWrap/>
              <w:spacing w:after="0" w:line="240" w:lineRule="auto"/>
              <w:ind w:firstLine="0" w:firstLineChars="0"/>
              <w:jc w:val="center"/>
              <w:rPr>
                <w:bCs/>
                <w:sz w:val="24"/>
                <w:szCs w:val="24"/>
              </w:rPr>
            </w:pPr>
          </w:p>
        </w:tc>
        <w:tc>
          <w:tcPr>
            <w:tcW w:w="1982"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记账日期</w:t>
            </w:r>
          </w:p>
        </w:tc>
        <w:tc>
          <w:tcPr>
            <w:tcW w:w="1229"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日期型</w:t>
            </w:r>
          </w:p>
        </w:tc>
        <w:tc>
          <w:tcPr>
            <w:tcW w:w="3260" w:type="dxa"/>
            <w:shd w:val="clear" w:color="auto" w:fill="auto"/>
            <w:noWrap/>
            <w:vAlign w:val="center"/>
          </w:tcPr>
          <w:p>
            <w:pPr>
              <w:pStyle w:val="11"/>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9</w:t>
            </w:r>
          </w:p>
        </w:tc>
        <w:tc>
          <w:tcPr>
            <w:tcW w:w="1258" w:type="dxa"/>
            <w:vMerge w:val="continue"/>
            <w:vAlign w:val="center"/>
          </w:tcPr>
          <w:p>
            <w:pPr>
              <w:pStyle w:val="11"/>
              <w:wordWrap/>
              <w:spacing w:after="0" w:line="240" w:lineRule="auto"/>
              <w:ind w:firstLine="0" w:firstLineChars="0"/>
              <w:jc w:val="center"/>
              <w:rPr>
                <w:bCs/>
                <w:sz w:val="24"/>
                <w:szCs w:val="24"/>
              </w:rPr>
            </w:pPr>
          </w:p>
        </w:tc>
        <w:tc>
          <w:tcPr>
            <w:tcW w:w="1982"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记账时间</w:t>
            </w:r>
          </w:p>
        </w:tc>
        <w:tc>
          <w:tcPr>
            <w:tcW w:w="1229"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时间型</w:t>
            </w:r>
          </w:p>
        </w:tc>
        <w:tc>
          <w:tcPr>
            <w:tcW w:w="3260" w:type="dxa"/>
            <w:shd w:val="clear" w:color="auto" w:fill="auto"/>
            <w:noWrap/>
            <w:vAlign w:val="center"/>
          </w:tcPr>
          <w:p>
            <w:pPr>
              <w:pStyle w:val="11"/>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1</w:t>
            </w:r>
            <w:r>
              <w:rPr>
                <w:bCs/>
                <w:sz w:val="24"/>
                <w:szCs w:val="24"/>
              </w:rPr>
              <w:t>0</w:t>
            </w:r>
          </w:p>
        </w:tc>
        <w:tc>
          <w:tcPr>
            <w:tcW w:w="1258" w:type="dxa"/>
            <w:vMerge w:val="continue"/>
            <w:vAlign w:val="center"/>
          </w:tcPr>
          <w:p>
            <w:pPr>
              <w:pStyle w:val="11"/>
              <w:wordWrap/>
              <w:spacing w:after="0" w:line="240" w:lineRule="auto"/>
              <w:ind w:firstLine="0" w:firstLineChars="0"/>
              <w:jc w:val="center"/>
              <w:rPr>
                <w:bCs/>
                <w:sz w:val="24"/>
                <w:szCs w:val="24"/>
              </w:rPr>
            </w:pPr>
          </w:p>
        </w:tc>
        <w:tc>
          <w:tcPr>
            <w:tcW w:w="1982"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记账柜员</w:t>
            </w:r>
          </w:p>
        </w:tc>
        <w:tc>
          <w:tcPr>
            <w:tcW w:w="1229"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字符型</w:t>
            </w:r>
          </w:p>
        </w:tc>
        <w:tc>
          <w:tcPr>
            <w:tcW w:w="3260" w:type="dxa"/>
            <w:shd w:val="clear" w:color="auto" w:fill="auto"/>
            <w:noWrap/>
            <w:vAlign w:val="center"/>
          </w:tcPr>
          <w:p>
            <w:pPr>
              <w:pStyle w:val="11"/>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1</w:t>
            </w:r>
            <w:r>
              <w:rPr>
                <w:bCs/>
                <w:sz w:val="24"/>
                <w:szCs w:val="24"/>
              </w:rPr>
              <w:t>1</w:t>
            </w:r>
          </w:p>
        </w:tc>
        <w:tc>
          <w:tcPr>
            <w:tcW w:w="1258" w:type="dxa"/>
            <w:vMerge w:val="continue"/>
            <w:vAlign w:val="center"/>
          </w:tcPr>
          <w:p>
            <w:pPr>
              <w:pStyle w:val="11"/>
              <w:wordWrap/>
              <w:spacing w:after="0" w:line="240" w:lineRule="auto"/>
              <w:ind w:firstLine="0" w:firstLineChars="0"/>
              <w:jc w:val="center"/>
              <w:rPr>
                <w:bCs/>
                <w:sz w:val="24"/>
                <w:szCs w:val="24"/>
              </w:rPr>
            </w:pPr>
          </w:p>
        </w:tc>
        <w:tc>
          <w:tcPr>
            <w:tcW w:w="1982"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记账流水</w:t>
            </w:r>
          </w:p>
        </w:tc>
        <w:tc>
          <w:tcPr>
            <w:tcW w:w="1229"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字符型</w:t>
            </w:r>
          </w:p>
        </w:tc>
        <w:tc>
          <w:tcPr>
            <w:tcW w:w="3260" w:type="dxa"/>
            <w:shd w:val="clear" w:color="auto" w:fill="auto"/>
            <w:noWrap/>
            <w:vAlign w:val="center"/>
          </w:tcPr>
          <w:p>
            <w:pPr>
              <w:pStyle w:val="11"/>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1</w:t>
            </w:r>
            <w:r>
              <w:rPr>
                <w:bCs/>
                <w:sz w:val="24"/>
                <w:szCs w:val="24"/>
              </w:rPr>
              <w:t>2</w:t>
            </w:r>
          </w:p>
        </w:tc>
        <w:tc>
          <w:tcPr>
            <w:tcW w:w="1258" w:type="dxa"/>
            <w:vMerge w:val="continue"/>
            <w:vAlign w:val="center"/>
          </w:tcPr>
          <w:p>
            <w:pPr>
              <w:pStyle w:val="11"/>
              <w:wordWrap/>
              <w:spacing w:after="0" w:line="240" w:lineRule="auto"/>
              <w:ind w:firstLine="0" w:firstLineChars="0"/>
              <w:jc w:val="center"/>
              <w:rPr>
                <w:bCs/>
                <w:sz w:val="24"/>
                <w:szCs w:val="24"/>
              </w:rPr>
            </w:pPr>
          </w:p>
        </w:tc>
        <w:tc>
          <w:tcPr>
            <w:tcW w:w="1982"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币种</w:t>
            </w:r>
          </w:p>
        </w:tc>
        <w:tc>
          <w:tcPr>
            <w:tcW w:w="1229"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字符型</w:t>
            </w:r>
          </w:p>
        </w:tc>
        <w:tc>
          <w:tcPr>
            <w:tcW w:w="3260" w:type="dxa"/>
            <w:shd w:val="clear" w:color="auto" w:fill="auto"/>
            <w:noWrap/>
            <w:vAlign w:val="center"/>
          </w:tcPr>
          <w:p>
            <w:pPr>
              <w:pStyle w:val="11"/>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1</w:t>
            </w:r>
            <w:r>
              <w:rPr>
                <w:bCs/>
                <w:sz w:val="24"/>
                <w:szCs w:val="24"/>
              </w:rPr>
              <w:t>3</w:t>
            </w:r>
          </w:p>
        </w:tc>
        <w:tc>
          <w:tcPr>
            <w:tcW w:w="1258" w:type="dxa"/>
            <w:vMerge w:val="continue"/>
            <w:vAlign w:val="center"/>
          </w:tcPr>
          <w:p>
            <w:pPr>
              <w:pStyle w:val="11"/>
              <w:wordWrap/>
              <w:spacing w:after="0" w:line="240" w:lineRule="auto"/>
              <w:ind w:firstLine="0" w:firstLineChars="0"/>
              <w:jc w:val="center"/>
              <w:rPr>
                <w:bCs/>
                <w:sz w:val="24"/>
                <w:szCs w:val="24"/>
              </w:rPr>
            </w:pPr>
          </w:p>
        </w:tc>
        <w:tc>
          <w:tcPr>
            <w:tcW w:w="1982"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小写金额</w:t>
            </w:r>
          </w:p>
        </w:tc>
        <w:tc>
          <w:tcPr>
            <w:tcW w:w="1229"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货币型</w:t>
            </w:r>
          </w:p>
        </w:tc>
        <w:tc>
          <w:tcPr>
            <w:tcW w:w="3260" w:type="dxa"/>
            <w:shd w:val="clear" w:color="auto" w:fill="auto"/>
            <w:noWrap/>
            <w:vAlign w:val="center"/>
          </w:tcPr>
          <w:p>
            <w:pPr>
              <w:pStyle w:val="11"/>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1</w:t>
            </w:r>
            <w:r>
              <w:rPr>
                <w:bCs/>
                <w:sz w:val="24"/>
                <w:szCs w:val="24"/>
              </w:rPr>
              <w:t>4</w:t>
            </w:r>
          </w:p>
        </w:tc>
        <w:tc>
          <w:tcPr>
            <w:tcW w:w="1258" w:type="dxa"/>
            <w:vMerge w:val="continue"/>
            <w:vAlign w:val="center"/>
          </w:tcPr>
          <w:p>
            <w:pPr>
              <w:pStyle w:val="11"/>
              <w:wordWrap/>
              <w:spacing w:after="0" w:line="240" w:lineRule="auto"/>
              <w:ind w:firstLine="0" w:firstLineChars="0"/>
              <w:jc w:val="center"/>
              <w:rPr>
                <w:bCs/>
                <w:sz w:val="24"/>
                <w:szCs w:val="24"/>
              </w:rPr>
            </w:pPr>
          </w:p>
        </w:tc>
        <w:tc>
          <w:tcPr>
            <w:tcW w:w="1982"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原始凭证种类</w:t>
            </w:r>
          </w:p>
        </w:tc>
        <w:tc>
          <w:tcPr>
            <w:tcW w:w="1229"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字符型</w:t>
            </w:r>
          </w:p>
        </w:tc>
        <w:tc>
          <w:tcPr>
            <w:tcW w:w="3260" w:type="dxa"/>
            <w:shd w:val="clear" w:color="auto" w:fill="auto"/>
            <w:noWrap/>
            <w:vAlign w:val="center"/>
          </w:tcPr>
          <w:p>
            <w:pPr>
              <w:pStyle w:val="11"/>
              <w:wordWrap/>
              <w:spacing w:after="0" w:line="240" w:lineRule="auto"/>
              <w:ind w:firstLine="0" w:firstLineChars="0"/>
              <w:rPr>
                <w:bCs/>
                <w:sz w:val="24"/>
                <w:szCs w:val="24"/>
              </w:rPr>
            </w:pPr>
            <w:r>
              <w:rPr>
                <w:rFonts w:hint="eastAsia"/>
                <w:bCs/>
                <w:sz w:val="24"/>
                <w:szCs w:val="24"/>
              </w:rPr>
              <w:t>原始凭证种类需自定义，如支票、本票、银行承兑汇票等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1</w:t>
            </w:r>
            <w:r>
              <w:rPr>
                <w:bCs/>
                <w:sz w:val="24"/>
                <w:szCs w:val="24"/>
              </w:rPr>
              <w:t>5</w:t>
            </w:r>
          </w:p>
        </w:tc>
        <w:tc>
          <w:tcPr>
            <w:tcW w:w="1258" w:type="dxa"/>
            <w:vMerge w:val="continue"/>
            <w:vAlign w:val="center"/>
          </w:tcPr>
          <w:p>
            <w:pPr>
              <w:pStyle w:val="11"/>
              <w:wordWrap/>
              <w:spacing w:after="0" w:line="240" w:lineRule="auto"/>
              <w:ind w:firstLine="0" w:firstLineChars="0"/>
              <w:jc w:val="center"/>
              <w:rPr>
                <w:bCs/>
                <w:sz w:val="24"/>
                <w:szCs w:val="24"/>
              </w:rPr>
            </w:pPr>
          </w:p>
        </w:tc>
        <w:tc>
          <w:tcPr>
            <w:tcW w:w="1982"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原始凭证号码</w:t>
            </w:r>
          </w:p>
        </w:tc>
        <w:tc>
          <w:tcPr>
            <w:tcW w:w="1229"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字符型</w:t>
            </w:r>
          </w:p>
        </w:tc>
        <w:tc>
          <w:tcPr>
            <w:tcW w:w="3260" w:type="dxa"/>
            <w:shd w:val="clear" w:color="auto" w:fill="auto"/>
            <w:noWrap/>
            <w:vAlign w:val="center"/>
          </w:tcPr>
          <w:p>
            <w:pPr>
              <w:pStyle w:val="11"/>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1</w:t>
            </w:r>
            <w:r>
              <w:rPr>
                <w:bCs/>
                <w:sz w:val="24"/>
                <w:szCs w:val="24"/>
              </w:rPr>
              <w:t>6</w:t>
            </w:r>
          </w:p>
        </w:tc>
        <w:tc>
          <w:tcPr>
            <w:tcW w:w="1258" w:type="dxa"/>
            <w:vMerge w:val="continue"/>
            <w:vAlign w:val="center"/>
          </w:tcPr>
          <w:p>
            <w:pPr>
              <w:pStyle w:val="11"/>
              <w:wordWrap/>
              <w:spacing w:after="0" w:line="240" w:lineRule="auto"/>
              <w:ind w:firstLine="0" w:firstLineChars="0"/>
              <w:jc w:val="center"/>
              <w:rPr>
                <w:bCs/>
                <w:sz w:val="24"/>
                <w:szCs w:val="24"/>
              </w:rPr>
            </w:pPr>
          </w:p>
        </w:tc>
        <w:tc>
          <w:tcPr>
            <w:tcW w:w="1982"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业务（产品）种类</w:t>
            </w:r>
          </w:p>
        </w:tc>
        <w:tc>
          <w:tcPr>
            <w:tcW w:w="1229"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字符型</w:t>
            </w:r>
          </w:p>
        </w:tc>
        <w:tc>
          <w:tcPr>
            <w:tcW w:w="3260" w:type="dxa"/>
            <w:shd w:val="clear" w:color="auto" w:fill="auto"/>
            <w:noWrap/>
            <w:vAlign w:val="center"/>
          </w:tcPr>
          <w:p>
            <w:pPr>
              <w:pStyle w:val="11"/>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1</w:t>
            </w:r>
            <w:r>
              <w:rPr>
                <w:bCs/>
                <w:sz w:val="24"/>
                <w:szCs w:val="24"/>
              </w:rPr>
              <w:t>7</w:t>
            </w:r>
          </w:p>
        </w:tc>
        <w:tc>
          <w:tcPr>
            <w:tcW w:w="1258" w:type="dxa"/>
            <w:vMerge w:val="continue"/>
            <w:vAlign w:val="center"/>
          </w:tcPr>
          <w:p>
            <w:pPr>
              <w:pStyle w:val="11"/>
              <w:wordWrap/>
              <w:spacing w:after="0" w:line="240" w:lineRule="auto"/>
              <w:ind w:firstLine="0" w:firstLineChars="0"/>
              <w:jc w:val="center"/>
              <w:rPr>
                <w:bCs/>
                <w:sz w:val="24"/>
                <w:szCs w:val="24"/>
              </w:rPr>
            </w:pPr>
          </w:p>
        </w:tc>
        <w:tc>
          <w:tcPr>
            <w:tcW w:w="1982"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业务流水号</w:t>
            </w:r>
          </w:p>
        </w:tc>
        <w:tc>
          <w:tcPr>
            <w:tcW w:w="1229"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字符型</w:t>
            </w:r>
          </w:p>
        </w:tc>
        <w:tc>
          <w:tcPr>
            <w:tcW w:w="3260" w:type="dxa"/>
            <w:shd w:val="clear" w:color="auto" w:fill="auto"/>
            <w:noWrap/>
            <w:vAlign w:val="center"/>
          </w:tcPr>
          <w:p>
            <w:pPr>
              <w:pStyle w:val="11"/>
              <w:wordWrap/>
              <w:spacing w:after="0" w:line="240" w:lineRule="auto"/>
              <w:ind w:firstLine="0" w:firstLineChars="0"/>
              <w:rPr>
                <w:bCs/>
                <w:sz w:val="24"/>
                <w:szCs w:val="24"/>
              </w:rPr>
            </w:pPr>
            <w:r>
              <w:rPr>
                <w:rFonts w:hint="eastAsia"/>
                <w:bCs/>
                <w:sz w:val="24"/>
                <w:szCs w:val="24"/>
              </w:rPr>
              <w:t>银企双方信息系统交互时的唯一业务编号</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1</w:t>
            </w:r>
            <w:r>
              <w:rPr>
                <w:bCs/>
                <w:sz w:val="24"/>
                <w:szCs w:val="24"/>
              </w:rPr>
              <w:t>8</w:t>
            </w:r>
          </w:p>
        </w:tc>
        <w:tc>
          <w:tcPr>
            <w:tcW w:w="1258" w:type="dxa"/>
            <w:vMerge w:val="continue"/>
            <w:vAlign w:val="center"/>
          </w:tcPr>
          <w:p>
            <w:pPr>
              <w:pStyle w:val="11"/>
              <w:wordWrap/>
              <w:spacing w:after="0" w:line="240" w:lineRule="auto"/>
              <w:ind w:firstLine="0" w:firstLineChars="0"/>
              <w:jc w:val="center"/>
              <w:rPr>
                <w:bCs/>
                <w:sz w:val="24"/>
                <w:szCs w:val="24"/>
              </w:rPr>
            </w:pPr>
          </w:p>
        </w:tc>
        <w:tc>
          <w:tcPr>
            <w:tcW w:w="1982"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交易代码</w:t>
            </w:r>
          </w:p>
        </w:tc>
        <w:tc>
          <w:tcPr>
            <w:tcW w:w="1229"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字符型</w:t>
            </w:r>
          </w:p>
        </w:tc>
        <w:tc>
          <w:tcPr>
            <w:tcW w:w="3260" w:type="dxa"/>
            <w:shd w:val="clear" w:color="auto" w:fill="auto"/>
            <w:noWrap/>
            <w:vAlign w:val="center"/>
          </w:tcPr>
          <w:p>
            <w:pPr>
              <w:pStyle w:val="11"/>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1</w:t>
            </w:r>
            <w:r>
              <w:rPr>
                <w:bCs/>
                <w:sz w:val="24"/>
                <w:szCs w:val="24"/>
              </w:rPr>
              <w:t>9</w:t>
            </w:r>
          </w:p>
        </w:tc>
        <w:tc>
          <w:tcPr>
            <w:tcW w:w="1258" w:type="dxa"/>
            <w:vMerge w:val="continue"/>
            <w:vAlign w:val="center"/>
          </w:tcPr>
          <w:p>
            <w:pPr>
              <w:pStyle w:val="11"/>
              <w:wordWrap/>
              <w:spacing w:after="0" w:line="240" w:lineRule="auto"/>
              <w:ind w:firstLine="0" w:firstLineChars="0"/>
              <w:jc w:val="center"/>
              <w:rPr>
                <w:bCs/>
                <w:sz w:val="24"/>
                <w:szCs w:val="24"/>
              </w:rPr>
            </w:pPr>
          </w:p>
        </w:tc>
        <w:tc>
          <w:tcPr>
            <w:tcW w:w="1982"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渠道</w:t>
            </w:r>
          </w:p>
        </w:tc>
        <w:tc>
          <w:tcPr>
            <w:tcW w:w="1229"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字符型</w:t>
            </w:r>
          </w:p>
        </w:tc>
        <w:tc>
          <w:tcPr>
            <w:tcW w:w="3260" w:type="dxa"/>
            <w:shd w:val="clear" w:color="auto" w:fill="auto"/>
            <w:noWrap/>
            <w:vAlign w:val="center"/>
          </w:tcPr>
          <w:p>
            <w:pPr>
              <w:pStyle w:val="11"/>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2</w:t>
            </w:r>
            <w:r>
              <w:rPr>
                <w:bCs/>
                <w:sz w:val="24"/>
                <w:szCs w:val="24"/>
              </w:rPr>
              <w:t>0</w:t>
            </w:r>
          </w:p>
        </w:tc>
        <w:tc>
          <w:tcPr>
            <w:tcW w:w="1258" w:type="dxa"/>
            <w:vMerge w:val="continue"/>
            <w:vAlign w:val="center"/>
          </w:tcPr>
          <w:p>
            <w:pPr>
              <w:pStyle w:val="11"/>
              <w:wordWrap/>
              <w:spacing w:after="0" w:line="240" w:lineRule="auto"/>
              <w:ind w:firstLine="0" w:firstLineChars="0"/>
              <w:jc w:val="center"/>
              <w:rPr>
                <w:bCs/>
                <w:sz w:val="24"/>
                <w:szCs w:val="24"/>
              </w:rPr>
            </w:pPr>
          </w:p>
        </w:tc>
        <w:tc>
          <w:tcPr>
            <w:tcW w:w="1982"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用途</w:t>
            </w:r>
          </w:p>
        </w:tc>
        <w:tc>
          <w:tcPr>
            <w:tcW w:w="1229"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字符型</w:t>
            </w:r>
          </w:p>
        </w:tc>
        <w:tc>
          <w:tcPr>
            <w:tcW w:w="3260" w:type="dxa"/>
            <w:shd w:val="clear" w:color="auto" w:fill="auto"/>
            <w:noWrap/>
            <w:vAlign w:val="center"/>
          </w:tcPr>
          <w:p>
            <w:pPr>
              <w:pStyle w:val="11"/>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2</w:t>
            </w:r>
            <w:r>
              <w:rPr>
                <w:bCs/>
                <w:sz w:val="24"/>
                <w:szCs w:val="24"/>
              </w:rPr>
              <w:t>1</w:t>
            </w:r>
          </w:p>
        </w:tc>
        <w:tc>
          <w:tcPr>
            <w:tcW w:w="1258" w:type="dxa"/>
            <w:vMerge w:val="continue"/>
            <w:vAlign w:val="center"/>
          </w:tcPr>
          <w:p>
            <w:pPr>
              <w:pStyle w:val="11"/>
              <w:wordWrap/>
              <w:spacing w:after="0" w:line="240" w:lineRule="auto"/>
              <w:ind w:firstLine="0" w:firstLineChars="0"/>
              <w:jc w:val="center"/>
              <w:rPr>
                <w:bCs/>
                <w:sz w:val="24"/>
                <w:szCs w:val="24"/>
              </w:rPr>
            </w:pPr>
          </w:p>
        </w:tc>
        <w:tc>
          <w:tcPr>
            <w:tcW w:w="1982"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附言</w:t>
            </w:r>
          </w:p>
        </w:tc>
        <w:tc>
          <w:tcPr>
            <w:tcW w:w="1229"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字符型</w:t>
            </w:r>
          </w:p>
        </w:tc>
        <w:tc>
          <w:tcPr>
            <w:tcW w:w="3260" w:type="dxa"/>
            <w:shd w:val="clear" w:color="auto" w:fill="auto"/>
            <w:noWrap/>
            <w:vAlign w:val="center"/>
          </w:tcPr>
          <w:p>
            <w:pPr>
              <w:pStyle w:val="11"/>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2</w:t>
            </w:r>
            <w:r>
              <w:rPr>
                <w:bCs/>
                <w:sz w:val="24"/>
                <w:szCs w:val="24"/>
              </w:rPr>
              <w:t>2</w:t>
            </w:r>
          </w:p>
        </w:tc>
        <w:tc>
          <w:tcPr>
            <w:tcW w:w="1258" w:type="dxa"/>
            <w:vMerge w:val="restart"/>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付款人信息</w:t>
            </w:r>
          </w:p>
        </w:tc>
        <w:tc>
          <w:tcPr>
            <w:tcW w:w="1982"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付款人户名</w:t>
            </w:r>
          </w:p>
        </w:tc>
        <w:tc>
          <w:tcPr>
            <w:tcW w:w="1229"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字符型</w:t>
            </w:r>
          </w:p>
        </w:tc>
        <w:tc>
          <w:tcPr>
            <w:tcW w:w="3260" w:type="dxa"/>
            <w:shd w:val="clear" w:color="auto" w:fill="auto"/>
            <w:noWrap/>
            <w:vAlign w:val="center"/>
          </w:tcPr>
          <w:p>
            <w:pPr>
              <w:pStyle w:val="11"/>
              <w:wordWrap/>
              <w:spacing w:after="0" w:line="240" w:lineRule="auto"/>
              <w:ind w:firstLine="0" w:firstLineChars="0"/>
              <w:rPr>
                <w:bCs/>
                <w:sz w:val="24"/>
                <w:szCs w:val="24"/>
              </w:rPr>
            </w:pPr>
            <w:r>
              <w:rPr>
                <w:rFonts w:hint="eastAsia"/>
                <w:bCs/>
                <w:sz w:val="24"/>
                <w:szCs w:val="24"/>
              </w:rPr>
              <w:t>当借贷标志是“借方”时，应填报付款人户名信息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2</w:t>
            </w:r>
            <w:r>
              <w:rPr>
                <w:bCs/>
                <w:sz w:val="24"/>
                <w:szCs w:val="24"/>
              </w:rPr>
              <w:t>3</w:t>
            </w:r>
          </w:p>
        </w:tc>
        <w:tc>
          <w:tcPr>
            <w:tcW w:w="1258" w:type="dxa"/>
            <w:vMerge w:val="continue"/>
            <w:vAlign w:val="center"/>
          </w:tcPr>
          <w:p>
            <w:pPr>
              <w:pStyle w:val="11"/>
              <w:wordWrap/>
              <w:spacing w:after="0" w:line="240" w:lineRule="auto"/>
              <w:ind w:firstLine="0" w:firstLineChars="0"/>
              <w:jc w:val="center"/>
              <w:rPr>
                <w:bCs/>
                <w:sz w:val="24"/>
                <w:szCs w:val="24"/>
              </w:rPr>
            </w:pPr>
          </w:p>
        </w:tc>
        <w:tc>
          <w:tcPr>
            <w:tcW w:w="1982"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付款人账号</w:t>
            </w:r>
          </w:p>
        </w:tc>
        <w:tc>
          <w:tcPr>
            <w:tcW w:w="1229"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字符型</w:t>
            </w:r>
          </w:p>
        </w:tc>
        <w:tc>
          <w:tcPr>
            <w:tcW w:w="3260" w:type="dxa"/>
            <w:shd w:val="clear" w:color="auto" w:fill="auto"/>
            <w:noWrap/>
            <w:vAlign w:val="center"/>
          </w:tcPr>
          <w:p>
            <w:pPr>
              <w:pStyle w:val="11"/>
              <w:wordWrap/>
              <w:spacing w:after="0" w:line="240" w:lineRule="auto"/>
              <w:ind w:firstLine="0" w:firstLineChars="0"/>
              <w:rPr>
                <w:bCs/>
                <w:sz w:val="24"/>
                <w:szCs w:val="24"/>
              </w:rPr>
            </w:pPr>
            <w:r>
              <w:rPr>
                <w:rFonts w:hint="eastAsia"/>
                <w:bCs/>
                <w:sz w:val="24"/>
                <w:szCs w:val="24"/>
              </w:rPr>
              <w:t>当借贷标志是“借方”时，应填报付款人账号信息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2</w:t>
            </w:r>
            <w:r>
              <w:rPr>
                <w:bCs/>
                <w:sz w:val="24"/>
                <w:szCs w:val="24"/>
              </w:rPr>
              <w:t>4</w:t>
            </w:r>
          </w:p>
        </w:tc>
        <w:tc>
          <w:tcPr>
            <w:tcW w:w="1258" w:type="dxa"/>
            <w:vMerge w:val="continue"/>
            <w:vAlign w:val="center"/>
          </w:tcPr>
          <w:p>
            <w:pPr>
              <w:pStyle w:val="11"/>
              <w:wordWrap/>
              <w:spacing w:after="0" w:line="240" w:lineRule="auto"/>
              <w:ind w:firstLine="0" w:firstLineChars="0"/>
              <w:jc w:val="center"/>
              <w:rPr>
                <w:bCs/>
                <w:sz w:val="24"/>
                <w:szCs w:val="24"/>
              </w:rPr>
            </w:pPr>
          </w:p>
        </w:tc>
        <w:tc>
          <w:tcPr>
            <w:tcW w:w="1982"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付款人开户行</w:t>
            </w:r>
          </w:p>
        </w:tc>
        <w:tc>
          <w:tcPr>
            <w:tcW w:w="1229"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字符型</w:t>
            </w:r>
          </w:p>
        </w:tc>
        <w:tc>
          <w:tcPr>
            <w:tcW w:w="3260" w:type="dxa"/>
            <w:shd w:val="clear" w:color="auto" w:fill="auto"/>
            <w:noWrap/>
            <w:vAlign w:val="center"/>
          </w:tcPr>
          <w:p>
            <w:pPr>
              <w:pStyle w:val="11"/>
              <w:wordWrap/>
              <w:spacing w:after="0" w:line="240" w:lineRule="auto"/>
              <w:ind w:firstLine="0" w:firstLineChars="0"/>
              <w:rPr>
                <w:bCs/>
                <w:sz w:val="24"/>
                <w:szCs w:val="24"/>
              </w:rPr>
            </w:pPr>
            <w:r>
              <w:rPr>
                <w:rFonts w:hint="eastAsia"/>
                <w:bCs/>
                <w:sz w:val="24"/>
                <w:szCs w:val="24"/>
              </w:rPr>
              <w:t>当借贷标志是“借方”时，应填报付款人开户行信息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2</w:t>
            </w:r>
            <w:r>
              <w:rPr>
                <w:bCs/>
                <w:sz w:val="24"/>
                <w:szCs w:val="24"/>
              </w:rPr>
              <w:t>5</w:t>
            </w:r>
          </w:p>
        </w:tc>
        <w:tc>
          <w:tcPr>
            <w:tcW w:w="1258" w:type="dxa"/>
            <w:vMerge w:val="restart"/>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收款人信息</w:t>
            </w:r>
          </w:p>
        </w:tc>
        <w:tc>
          <w:tcPr>
            <w:tcW w:w="1982"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收款人户名</w:t>
            </w:r>
          </w:p>
        </w:tc>
        <w:tc>
          <w:tcPr>
            <w:tcW w:w="1229"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字符型</w:t>
            </w:r>
          </w:p>
        </w:tc>
        <w:tc>
          <w:tcPr>
            <w:tcW w:w="3260" w:type="dxa"/>
            <w:shd w:val="clear" w:color="auto" w:fill="auto"/>
            <w:noWrap/>
            <w:vAlign w:val="center"/>
          </w:tcPr>
          <w:p>
            <w:pPr>
              <w:pStyle w:val="11"/>
              <w:wordWrap/>
              <w:spacing w:after="0" w:line="240" w:lineRule="auto"/>
              <w:ind w:firstLine="0" w:firstLineChars="0"/>
              <w:rPr>
                <w:bCs/>
                <w:sz w:val="24"/>
                <w:szCs w:val="24"/>
              </w:rPr>
            </w:pPr>
            <w:r>
              <w:rPr>
                <w:rFonts w:hint="eastAsia"/>
                <w:bCs/>
                <w:sz w:val="24"/>
                <w:szCs w:val="24"/>
              </w:rPr>
              <w:t>当借贷标志是“贷方”时，应填报收款人户名信息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2</w:t>
            </w:r>
            <w:r>
              <w:rPr>
                <w:bCs/>
                <w:sz w:val="24"/>
                <w:szCs w:val="24"/>
              </w:rPr>
              <w:t>6</w:t>
            </w:r>
          </w:p>
        </w:tc>
        <w:tc>
          <w:tcPr>
            <w:tcW w:w="1258" w:type="dxa"/>
            <w:vMerge w:val="continue"/>
            <w:vAlign w:val="center"/>
          </w:tcPr>
          <w:p>
            <w:pPr>
              <w:pStyle w:val="11"/>
              <w:wordWrap/>
              <w:spacing w:after="0" w:line="240" w:lineRule="auto"/>
              <w:ind w:firstLine="0" w:firstLineChars="0"/>
              <w:jc w:val="center"/>
              <w:rPr>
                <w:bCs/>
                <w:sz w:val="24"/>
                <w:szCs w:val="24"/>
              </w:rPr>
            </w:pPr>
          </w:p>
        </w:tc>
        <w:tc>
          <w:tcPr>
            <w:tcW w:w="1982"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收款人账号</w:t>
            </w:r>
          </w:p>
        </w:tc>
        <w:tc>
          <w:tcPr>
            <w:tcW w:w="1229"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字符型</w:t>
            </w:r>
          </w:p>
        </w:tc>
        <w:tc>
          <w:tcPr>
            <w:tcW w:w="3260" w:type="dxa"/>
            <w:shd w:val="clear" w:color="auto" w:fill="auto"/>
            <w:noWrap/>
            <w:vAlign w:val="center"/>
          </w:tcPr>
          <w:p>
            <w:pPr>
              <w:pStyle w:val="11"/>
              <w:wordWrap/>
              <w:spacing w:after="0" w:line="240" w:lineRule="auto"/>
              <w:ind w:firstLine="0" w:firstLineChars="0"/>
              <w:rPr>
                <w:bCs/>
                <w:sz w:val="24"/>
                <w:szCs w:val="24"/>
              </w:rPr>
            </w:pPr>
            <w:r>
              <w:rPr>
                <w:rFonts w:hint="eastAsia"/>
                <w:bCs/>
                <w:sz w:val="24"/>
                <w:szCs w:val="24"/>
              </w:rPr>
              <w:t>当借贷标志是“贷方”时，应填报收款人账号信息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2</w:t>
            </w:r>
            <w:r>
              <w:rPr>
                <w:bCs/>
                <w:sz w:val="24"/>
                <w:szCs w:val="24"/>
              </w:rPr>
              <w:t>7</w:t>
            </w:r>
          </w:p>
        </w:tc>
        <w:tc>
          <w:tcPr>
            <w:tcW w:w="1258" w:type="dxa"/>
            <w:vMerge w:val="continue"/>
            <w:vAlign w:val="center"/>
          </w:tcPr>
          <w:p>
            <w:pPr>
              <w:pStyle w:val="11"/>
              <w:wordWrap/>
              <w:spacing w:after="0" w:line="240" w:lineRule="auto"/>
              <w:ind w:firstLine="0" w:firstLineChars="0"/>
              <w:jc w:val="center"/>
              <w:rPr>
                <w:bCs/>
                <w:sz w:val="24"/>
                <w:szCs w:val="24"/>
              </w:rPr>
            </w:pPr>
          </w:p>
        </w:tc>
        <w:tc>
          <w:tcPr>
            <w:tcW w:w="1982"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收款人开户行</w:t>
            </w:r>
          </w:p>
        </w:tc>
        <w:tc>
          <w:tcPr>
            <w:tcW w:w="1229"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字符型</w:t>
            </w:r>
          </w:p>
        </w:tc>
        <w:tc>
          <w:tcPr>
            <w:tcW w:w="3260" w:type="dxa"/>
            <w:shd w:val="clear" w:color="auto" w:fill="auto"/>
            <w:noWrap/>
            <w:vAlign w:val="center"/>
          </w:tcPr>
          <w:p>
            <w:pPr>
              <w:pStyle w:val="11"/>
              <w:wordWrap/>
              <w:spacing w:after="0" w:line="240" w:lineRule="auto"/>
              <w:ind w:firstLine="0" w:firstLineChars="0"/>
              <w:rPr>
                <w:bCs/>
                <w:sz w:val="24"/>
                <w:szCs w:val="24"/>
              </w:rPr>
            </w:pPr>
            <w:r>
              <w:rPr>
                <w:rFonts w:hint="eastAsia"/>
                <w:bCs/>
                <w:sz w:val="24"/>
                <w:szCs w:val="24"/>
              </w:rPr>
              <w:t>当借贷标志是“贷方”时，应填报收款人开户行信息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2</w:t>
            </w:r>
            <w:r>
              <w:rPr>
                <w:bCs/>
                <w:sz w:val="24"/>
                <w:szCs w:val="24"/>
              </w:rPr>
              <w:t>8</w:t>
            </w:r>
          </w:p>
        </w:tc>
        <w:tc>
          <w:tcPr>
            <w:tcW w:w="1258" w:type="dxa"/>
            <w:vMerge w:val="restart"/>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回单接收人信息</w:t>
            </w:r>
          </w:p>
        </w:tc>
        <w:tc>
          <w:tcPr>
            <w:tcW w:w="1982"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回单接收人账号</w:t>
            </w:r>
          </w:p>
        </w:tc>
        <w:tc>
          <w:tcPr>
            <w:tcW w:w="1229"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字符型</w:t>
            </w:r>
          </w:p>
        </w:tc>
        <w:tc>
          <w:tcPr>
            <w:tcW w:w="3260" w:type="dxa"/>
            <w:shd w:val="clear" w:color="auto" w:fill="auto"/>
            <w:noWrap/>
            <w:vAlign w:val="center"/>
          </w:tcPr>
          <w:p>
            <w:pPr>
              <w:pStyle w:val="11"/>
              <w:wordWrap/>
              <w:spacing w:after="0" w:line="240" w:lineRule="auto"/>
              <w:ind w:firstLine="0" w:firstLineChars="0"/>
              <w:rPr>
                <w:bCs/>
                <w:sz w:val="24"/>
                <w:szCs w:val="24"/>
              </w:rPr>
            </w:pPr>
            <w:r>
              <w:rPr>
                <w:rFonts w:hint="eastAsia"/>
                <w:bCs/>
                <w:sz w:val="24"/>
                <w:szCs w:val="24"/>
              </w:rPr>
              <w:t>回单接收人账号用于规定其他回单接收人，如集团公司</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1"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2</w:t>
            </w:r>
            <w:r>
              <w:rPr>
                <w:bCs/>
                <w:sz w:val="24"/>
                <w:szCs w:val="24"/>
              </w:rPr>
              <w:t>9</w:t>
            </w:r>
          </w:p>
        </w:tc>
        <w:tc>
          <w:tcPr>
            <w:tcW w:w="1258" w:type="dxa"/>
            <w:vMerge w:val="continue"/>
            <w:vAlign w:val="center"/>
          </w:tcPr>
          <w:p>
            <w:pPr>
              <w:pStyle w:val="11"/>
              <w:wordWrap/>
              <w:spacing w:after="0" w:line="240" w:lineRule="auto"/>
              <w:ind w:firstLine="0" w:firstLineChars="0"/>
              <w:jc w:val="center"/>
              <w:rPr>
                <w:bCs/>
                <w:sz w:val="24"/>
                <w:szCs w:val="24"/>
              </w:rPr>
            </w:pPr>
          </w:p>
        </w:tc>
        <w:tc>
          <w:tcPr>
            <w:tcW w:w="1982"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回单接收人证件号码</w:t>
            </w:r>
          </w:p>
        </w:tc>
        <w:tc>
          <w:tcPr>
            <w:tcW w:w="1229"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字符型</w:t>
            </w:r>
          </w:p>
        </w:tc>
        <w:tc>
          <w:tcPr>
            <w:tcW w:w="3260" w:type="dxa"/>
            <w:shd w:val="clear" w:color="auto" w:fill="auto"/>
            <w:noWrap/>
            <w:vAlign w:val="center"/>
          </w:tcPr>
          <w:p>
            <w:pPr>
              <w:pStyle w:val="11"/>
              <w:wordWrap/>
              <w:spacing w:after="0" w:line="240" w:lineRule="auto"/>
              <w:ind w:firstLine="0" w:firstLineChars="0"/>
              <w:rPr>
                <w:bCs/>
                <w:sz w:val="24"/>
                <w:szCs w:val="24"/>
              </w:rPr>
            </w:pPr>
            <w:r>
              <w:rPr>
                <w:rFonts w:hint="eastAsia"/>
                <w:bCs/>
                <w:sz w:val="24"/>
                <w:szCs w:val="24"/>
              </w:rPr>
              <w:t>回单接收人证件号码用于规定其他回单接收人，个人客户是身份证号码，对公客户是社会信用代码证号码</w:t>
            </w:r>
          </w:p>
        </w:tc>
      </w:tr>
    </w:tbl>
    <w:p>
      <w:pPr>
        <w:pStyle w:val="10"/>
        <w:numPr>
          <w:ilvl w:val="0"/>
          <w:numId w:val="3"/>
        </w:numPr>
        <w:wordWrap/>
        <w:spacing w:line="560" w:lineRule="exact"/>
        <w:ind w:firstLine="560" w:firstLineChars="0"/>
        <w:outlineLvl w:val="1"/>
      </w:pPr>
      <w:r>
        <w:rPr>
          <w:rFonts w:hint="eastAsia"/>
        </w:rPr>
        <w:t>X</w:t>
      </w:r>
      <w:r>
        <w:t>BRL</w:t>
      </w:r>
      <w:r>
        <w:rPr>
          <w:rFonts w:hint="eastAsia"/>
        </w:rPr>
        <w:t>实例文档要素说明</w:t>
      </w:r>
    </w:p>
    <w:p>
      <w:pPr>
        <w:pStyle w:val="11"/>
        <w:wordWrap/>
        <w:spacing w:after="0" w:line="560" w:lineRule="exact"/>
        <w:rPr>
          <w:lang w:val="en-GB"/>
        </w:rPr>
      </w:pPr>
      <w:r>
        <w:rPr>
          <w:rFonts w:hint="eastAsia"/>
        </w:rPr>
        <w:t>实例文档作为银行电子回单结构化数据的载体，不仅包含了数据本身及其与《银行电子回单</w:t>
      </w:r>
      <w:r>
        <w:rPr>
          <w:rFonts w:hint="eastAsia"/>
          <w:lang w:eastAsia="zh-CN"/>
        </w:rPr>
        <w:t>标准</w:t>
      </w:r>
      <w:r>
        <w:rPr>
          <w:rFonts w:hint="eastAsia"/>
        </w:rPr>
        <w:t>》元素之间的对应关系，同时也包含了数据相关的属性信息（如数据所属时间、单位等），这些信息使得标记数据能够与业务场景紧密关联起来。</w:t>
      </w:r>
    </w:p>
    <w:p>
      <w:pPr>
        <w:pStyle w:val="11"/>
        <w:wordWrap/>
        <w:spacing w:after="0" w:line="560" w:lineRule="exact"/>
      </w:pPr>
      <w:r>
        <w:rPr>
          <w:rFonts w:hint="eastAsia"/>
        </w:rPr>
        <w:t>实例文档共包含五类内容，分别是根元素（</w:t>
      </w:r>
      <w:r>
        <w:t>xbrli:xbrl</w:t>
      </w:r>
      <w:r>
        <w:rPr>
          <w:rFonts w:hint="eastAsia"/>
        </w:rPr>
        <w:t>）、</w:t>
      </w:r>
      <w:r>
        <w:rPr>
          <w:rFonts w:hint="eastAsia"/>
          <w:lang w:eastAsia="zh-CN"/>
        </w:rPr>
        <w:t>标准</w:t>
      </w:r>
      <w:r>
        <w:rPr>
          <w:rFonts w:hint="eastAsia"/>
        </w:rPr>
        <w:t>引用（</w:t>
      </w:r>
      <w:r>
        <w:t>link:schemaRef</w:t>
      </w:r>
      <w:r>
        <w:rPr>
          <w:rFonts w:hint="eastAsia"/>
        </w:rPr>
        <w:t>）、事实值（fact</w:t>
      </w:r>
      <w:r>
        <w:t>）</w:t>
      </w:r>
      <w:r>
        <w:rPr>
          <w:rFonts w:hint="eastAsia"/>
        </w:rPr>
        <w:t>、上下文（context）和单位（</w:t>
      </w:r>
      <w:r>
        <w:t>unit</w:t>
      </w:r>
      <w:r>
        <w:rPr>
          <w:rFonts w:hint="eastAsia"/>
        </w:rPr>
        <w:t>），使用者可结合三个要素的具体信息来进一步理解实例文档。</w:t>
      </w:r>
    </w:p>
    <w:p>
      <w:pPr>
        <w:pStyle w:val="11"/>
        <w:numPr>
          <w:ilvl w:val="0"/>
          <w:numId w:val="4"/>
        </w:numPr>
        <w:wordWrap/>
        <w:spacing w:after="0" w:line="560" w:lineRule="exact"/>
        <w:ind w:firstLineChars="0"/>
        <w:rPr>
          <w:b/>
          <w:bCs/>
        </w:rPr>
      </w:pPr>
      <w:r>
        <w:rPr>
          <w:rFonts w:hint="eastAsia"/>
          <w:b/>
          <w:bCs/>
        </w:rPr>
        <w:t>根元素</w:t>
      </w:r>
    </w:p>
    <w:p>
      <w:pPr>
        <w:pStyle w:val="11"/>
        <w:wordWrap/>
        <w:spacing w:after="0" w:line="560" w:lineRule="exact"/>
      </w:pPr>
      <w:r>
        <w:rPr>
          <w:rFonts w:hint="eastAsia"/>
        </w:rPr>
        <w:t>实例文档根元素的标签名是&lt;xbrli:xbrl&gt;，根元素标签的属性是实例文档所引用的所有命名空间信息，其中也包括《银行电子回单</w:t>
      </w:r>
      <w:r>
        <w:rPr>
          <w:rFonts w:hint="eastAsia"/>
          <w:lang w:eastAsia="zh-CN"/>
        </w:rPr>
        <w:t>标准</w:t>
      </w:r>
      <w:r>
        <w:rPr>
          <w:rFonts w:hint="eastAsia"/>
        </w:rPr>
        <w:t>》前缀bker，具体如下表</w:t>
      </w:r>
      <w:r>
        <w:t>2</w:t>
      </w:r>
      <w:r>
        <w:rPr>
          <w:rFonts w:hint="eastAsia"/>
        </w:rPr>
        <w:t>所示：</w:t>
      </w:r>
    </w:p>
    <w:p>
      <w:pPr>
        <w:pStyle w:val="11"/>
        <w:wordWrap/>
        <w:spacing w:after="0" w:line="560" w:lineRule="exact"/>
        <w:ind w:firstLine="0" w:firstLineChars="0"/>
        <w:jc w:val="center"/>
        <w:rPr>
          <w:b/>
          <w:sz w:val="24"/>
          <w:szCs w:val="24"/>
        </w:rPr>
      </w:pPr>
      <w:r>
        <w:rPr>
          <w:rFonts w:hint="eastAsia"/>
          <w:b/>
          <w:bCs/>
          <w:sz w:val="24"/>
          <w:szCs w:val="24"/>
        </w:rPr>
        <w:t xml:space="preserve">表 </w:t>
      </w:r>
      <w:r>
        <w:rPr>
          <w:bCs/>
          <w:sz w:val="24"/>
          <w:szCs w:val="24"/>
        </w:rPr>
        <w:fldChar w:fldCharType="begin"/>
      </w:r>
      <w:r>
        <w:rPr>
          <w:bCs/>
          <w:sz w:val="24"/>
          <w:szCs w:val="24"/>
        </w:rPr>
        <w:instrText xml:space="preserve"> </w:instrText>
      </w:r>
      <w:r>
        <w:rPr>
          <w:rFonts w:hint="eastAsia"/>
          <w:bCs/>
          <w:sz w:val="24"/>
          <w:szCs w:val="24"/>
        </w:rPr>
        <w:instrText xml:space="preserve">SEQ 表 \* ARABIC</w:instrText>
      </w:r>
      <w:r>
        <w:rPr>
          <w:bCs/>
          <w:sz w:val="24"/>
          <w:szCs w:val="24"/>
        </w:rPr>
        <w:instrText xml:space="preserve"> </w:instrText>
      </w:r>
      <w:r>
        <w:rPr>
          <w:bCs/>
          <w:sz w:val="24"/>
          <w:szCs w:val="24"/>
        </w:rPr>
        <w:fldChar w:fldCharType="separate"/>
      </w:r>
      <w:r>
        <w:rPr>
          <w:bCs/>
          <w:sz w:val="24"/>
          <w:szCs w:val="24"/>
        </w:rPr>
        <w:t>2</w:t>
      </w:r>
      <w:r>
        <w:rPr>
          <w:bCs/>
          <w:sz w:val="24"/>
          <w:szCs w:val="24"/>
        </w:rPr>
        <w:fldChar w:fldCharType="end"/>
      </w:r>
      <w:r>
        <w:rPr>
          <w:rFonts w:hint="eastAsia"/>
          <w:b/>
          <w:bCs/>
          <w:sz w:val="24"/>
          <w:szCs w:val="24"/>
        </w:rPr>
        <w:t>：</w:t>
      </w:r>
      <w:r>
        <w:rPr>
          <w:rFonts w:hint="eastAsia"/>
          <w:b/>
          <w:sz w:val="24"/>
          <w:szCs w:val="24"/>
        </w:rPr>
        <w:t>《银行电子回单</w:t>
      </w:r>
      <w:r>
        <w:rPr>
          <w:rFonts w:hint="eastAsia"/>
          <w:b/>
          <w:sz w:val="24"/>
          <w:szCs w:val="24"/>
          <w:lang w:eastAsia="zh-CN"/>
        </w:rPr>
        <w:t>标准</w:t>
      </w:r>
      <w:r>
        <w:rPr>
          <w:rFonts w:hint="eastAsia"/>
          <w:b/>
          <w:sz w:val="24"/>
          <w:szCs w:val="24"/>
        </w:rPr>
        <w:t>》标记内容</w:t>
      </w:r>
    </w:p>
    <w:tbl>
      <w:tblPr>
        <w:tblStyle w:val="5"/>
        <w:tblW w:w="8247"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033"/>
        <w:gridCol w:w="5034"/>
        <w:gridCol w:w="2180"/>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tblHeader/>
          <w:jc w:val="center"/>
        </w:trPr>
        <w:tc>
          <w:tcPr>
            <w:tcW w:w="1033"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前缀</w:t>
            </w:r>
          </w:p>
        </w:tc>
        <w:tc>
          <w:tcPr>
            <w:tcW w:w="5034"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命名空间URL</w:t>
            </w:r>
          </w:p>
        </w:tc>
        <w:tc>
          <w:tcPr>
            <w:tcW w:w="2180"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描述</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color w:val="000000"/>
                <w:sz w:val="24"/>
                <w:szCs w:val="24"/>
              </w:rPr>
              <w:t>bker</w:t>
            </w:r>
          </w:p>
        </w:tc>
        <w:tc>
          <w:tcPr>
            <w:tcW w:w="5034" w:type="dxa"/>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sz w:val="24"/>
                <w:szCs w:val="24"/>
              </w:rPr>
              <w:t>http://xbrl.mof.gov.cn/taxonomy/2023-05-15/bker</w:t>
            </w:r>
          </w:p>
        </w:tc>
        <w:tc>
          <w:tcPr>
            <w:tcW w:w="2180" w:type="dxa"/>
          </w:tcPr>
          <w:p>
            <w:pPr>
              <w:spacing w:after="0" w:line="560" w:lineRule="exact"/>
              <w:jc w:val="both"/>
              <w:rPr>
                <w:rFonts w:hint="eastAsia" w:ascii="Times New Roman" w:hAnsi="Times New Roman" w:eastAsia="仿宋_GB2312"/>
                <w:color w:val="000000"/>
                <w:sz w:val="24"/>
                <w:szCs w:val="24"/>
                <w:lang w:eastAsia="zh-CN"/>
              </w:rPr>
            </w:pPr>
            <w:r>
              <w:rPr>
                <w:rFonts w:hint="eastAsia" w:ascii="Times New Roman" w:hAnsi="Times New Roman" w:eastAsia="仿宋_GB2312"/>
                <w:sz w:val="24"/>
                <w:szCs w:val="24"/>
              </w:rPr>
              <w:t>银行电子回单</w:t>
            </w:r>
            <w:r>
              <w:rPr>
                <w:rFonts w:hint="eastAsia" w:ascii="Times New Roman" w:hAnsi="Times New Roman" w:eastAsia="仿宋_GB2312"/>
                <w:sz w:val="24"/>
                <w:szCs w:val="24"/>
                <w:lang w:eastAsia="zh-CN"/>
              </w:rPr>
              <w:t>标准</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num</w:t>
            </w:r>
          </w:p>
        </w:tc>
        <w:tc>
          <w:tcPr>
            <w:tcW w:w="5034"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http://www.xbrl.org/dtr/type/numeric</w:t>
            </w:r>
          </w:p>
        </w:tc>
        <w:tc>
          <w:tcPr>
            <w:tcW w:w="2180"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percentItemType数据类型命名空间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cs="宋体"/>
                <w:sz w:val="24"/>
                <w:szCs w:val="24"/>
              </w:rPr>
            </w:pPr>
            <w:r>
              <w:rPr>
                <w:rFonts w:hint="eastAsia" w:ascii="Times New Roman" w:hAnsi="Times New Roman" w:eastAsia="仿宋_GB2312"/>
                <w:sz w:val="24"/>
                <w:szCs w:val="24"/>
              </w:rPr>
              <w:t>label</w:t>
            </w:r>
          </w:p>
        </w:tc>
        <w:tc>
          <w:tcPr>
            <w:tcW w:w="5034"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http://xbrl.org/2008/label</w:t>
            </w:r>
          </w:p>
        </w:tc>
        <w:tc>
          <w:tcPr>
            <w:tcW w:w="2180"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&lt;label&gt;标签定义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cs="宋体"/>
                <w:sz w:val="24"/>
                <w:szCs w:val="24"/>
              </w:rPr>
            </w:pPr>
            <w:r>
              <w:rPr>
                <w:rFonts w:hint="eastAsia" w:ascii="Times New Roman" w:hAnsi="Times New Roman" w:eastAsia="仿宋_GB2312"/>
                <w:sz w:val="24"/>
                <w:szCs w:val="24"/>
              </w:rPr>
              <w:t>xl</w:t>
            </w:r>
          </w:p>
        </w:tc>
        <w:tc>
          <w:tcPr>
            <w:tcW w:w="5034"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http://www.xbrl.org/2003/XLink</w:t>
            </w:r>
          </w:p>
        </w:tc>
        <w:tc>
          <w:tcPr>
            <w:tcW w:w="2180" w:type="dxa"/>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sz w:val="24"/>
                <w:szCs w:val="24"/>
              </w:rPr>
              <w:t>XBRL技术规范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link</w:t>
            </w:r>
          </w:p>
        </w:tc>
        <w:tc>
          <w:tcPr>
            <w:tcW w:w="5034"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http://www.xbrl.org/2003/linkbase</w:t>
            </w:r>
          </w:p>
        </w:tc>
        <w:tc>
          <w:tcPr>
            <w:tcW w:w="2180"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XBRL技术规范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xlink</w:t>
            </w:r>
          </w:p>
        </w:tc>
        <w:tc>
          <w:tcPr>
            <w:tcW w:w="5034"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http://www.w3.org/1999/xlink</w:t>
            </w:r>
          </w:p>
        </w:tc>
        <w:tc>
          <w:tcPr>
            <w:tcW w:w="2180"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XBRL技术规范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xbrli</w:t>
            </w:r>
          </w:p>
        </w:tc>
        <w:tc>
          <w:tcPr>
            <w:tcW w:w="5034"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http://www.xbrl.org/2003/instance</w:t>
            </w:r>
          </w:p>
        </w:tc>
        <w:tc>
          <w:tcPr>
            <w:tcW w:w="2180"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XBRL技术规范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gen</w:t>
            </w:r>
          </w:p>
        </w:tc>
        <w:tc>
          <w:tcPr>
            <w:tcW w:w="5034"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http://xbrl.org/2008/generic</w:t>
            </w:r>
          </w:p>
        </w:tc>
        <w:tc>
          <w:tcPr>
            <w:tcW w:w="2180"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&lt;arc&gt;、&lt;link&gt;标签定义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033"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iso4217</w:t>
            </w:r>
          </w:p>
        </w:tc>
        <w:tc>
          <w:tcPr>
            <w:tcW w:w="5034"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http://www.xbrl.org/2003/iso4217</w:t>
            </w:r>
          </w:p>
        </w:tc>
        <w:tc>
          <w:tcPr>
            <w:tcW w:w="2180" w:type="dxa"/>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计量单位定义</w:t>
            </w:r>
          </w:p>
        </w:tc>
      </w:tr>
    </w:tbl>
    <w:p>
      <w:pPr>
        <w:pStyle w:val="11"/>
        <w:numPr>
          <w:ilvl w:val="0"/>
          <w:numId w:val="4"/>
        </w:numPr>
        <w:wordWrap/>
        <w:spacing w:after="0" w:line="560" w:lineRule="exact"/>
        <w:ind w:firstLineChars="0"/>
        <w:rPr>
          <w:b/>
          <w:bCs/>
        </w:rPr>
      </w:pPr>
      <w:r>
        <w:rPr>
          <w:rFonts w:hint="eastAsia"/>
          <w:b/>
          <w:bCs/>
          <w:lang w:eastAsia="zh-CN"/>
        </w:rPr>
        <w:t>标准</w:t>
      </w:r>
      <w:r>
        <w:rPr>
          <w:rFonts w:hint="eastAsia"/>
          <w:b/>
          <w:bCs/>
        </w:rPr>
        <w:t>引用</w:t>
      </w:r>
    </w:p>
    <w:p>
      <w:pPr>
        <w:pStyle w:val="11"/>
        <w:wordWrap/>
        <w:spacing w:after="0" w:line="560" w:lineRule="exact"/>
        <w:ind w:firstLine="562" w:firstLineChars="0"/>
      </w:pPr>
      <w:r>
        <w:rPr>
          <w:rFonts w:hint="eastAsia"/>
        </w:rPr>
        <w:t>每一份实例文档都是基于一套</w:t>
      </w:r>
      <w:r>
        <w:rPr>
          <w:rFonts w:hint="eastAsia"/>
          <w:lang w:eastAsia="zh-CN"/>
        </w:rPr>
        <w:t>标准</w:t>
      </w:r>
      <w:r>
        <w:rPr>
          <w:rFonts w:hint="eastAsia"/>
        </w:rPr>
        <w:t>编制的，</w:t>
      </w:r>
      <w:r>
        <w:rPr>
          <w:rFonts w:hint="eastAsia"/>
          <w:lang w:eastAsia="zh-CN"/>
        </w:rPr>
        <w:t>标准</w:t>
      </w:r>
      <w:r>
        <w:rPr>
          <w:rFonts w:hint="eastAsia"/>
        </w:rPr>
        <w:t>是解析实例文档的基础。在根标签中，使用</w:t>
      </w:r>
      <w:r>
        <w:t>&lt;link:schemaRef&gt;</w:t>
      </w:r>
      <w:r>
        <w:rPr>
          <w:rFonts w:hint="eastAsia"/>
        </w:rPr>
        <w:t>标签定义实例文档对《银行电子回单</w:t>
      </w:r>
      <w:r>
        <w:rPr>
          <w:rFonts w:hint="eastAsia"/>
          <w:lang w:eastAsia="zh-CN"/>
        </w:rPr>
        <w:t>标准</w:t>
      </w:r>
      <w:r>
        <w:rPr>
          <w:rFonts w:hint="eastAsia"/>
        </w:rPr>
        <w:t>》文件的引用，通过“</w:t>
      </w:r>
      <w:r>
        <w:t>xlink:href</w:t>
      </w:r>
      <w:r>
        <w:rPr>
          <w:rFonts w:hint="eastAsia"/>
        </w:rPr>
        <w:t>”指向引用《银行电子回单</w:t>
      </w:r>
      <w:r>
        <w:rPr>
          <w:rFonts w:hint="eastAsia"/>
          <w:lang w:eastAsia="zh-CN"/>
        </w:rPr>
        <w:t>标准</w:t>
      </w:r>
      <w:r>
        <w:rPr>
          <w:rFonts w:hint="eastAsia"/>
        </w:rPr>
        <w:t>》的相对地址（以开具方为例）：</w:t>
      </w:r>
    </w:p>
    <w:p>
      <w:pPr>
        <w:pStyle w:val="11"/>
        <w:wordWrap/>
        <w:spacing w:after="0" w:line="560" w:lineRule="exact"/>
      </w:pPr>
      <w:r>
        <w:t>&lt;link:schemaRef xlink:type="simple" xlink:href="bker_issuer_entry_point_2023-05-15.xsd"/&gt;</w:t>
      </w:r>
    </w:p>
    <w:p>
      <w:pPr>
        <w:pStyle w:val="11"/>
        <w:numPr>
          <w:ilvl w:val="0"/>
          <w:numId w:val="4"/>
        </w:numPr>
        <w:wordWrap/>
        <w:spacing w:after="0" w:line="560" w:lineRule="exact"/>
        <w:ind w:firstLineChars="0"/>
        <w:rPr>
          <w:b/>
          <w:bCs/>
        </w:rPr>
      </w:pPr>
      <w:r>
        <w:rPr>
          <w:rFonts w:hint="eastAsia"/>
          <w:b/>
          <w:bCs/>
        </w:rPr>
        <w:t>事实值</w:t>
      </w:r>
    </w:p>
    <w:p>
      <w:pPr>
        <w:pStyle w:val="11"/>
        <w:wordWrap/>
        <w:spacing w:after="0" w:line="560" w:lineRule="exact"/>
      </w:pPr>
      <w:r>
        <w:rPr>
          <w:rFonts w:hint="eastAsia"/>
        </w:rPr>
        <w:t>事实值就是电子回单版面信息填写的内容，例如对于“银行电子回单类型”这个项目，其事实值就是电子回单抬头信息中的银行电子回单类型信息。通过为元素赋值，并指定上下文、单位和精度属性，来完成对于事实值的完整定义。赋予实例文档的事实值可为数值（金额、十进制数字等）或非数值数据（字符串或者转义文本，例如XHTML格式内容）。事实值也可为日期类型和时间类型。表3列示了部分事实值。</w:t>
      </w:r>
    </w:p>
    <w:p>
      <w:pPr>
        <w:pStyle w:val="11"/>
        <w:wordWrap/>
        <w:spacing w:after="0" w:line="560" w:lineRule="exact"/>
        <w:ind w:firstLine="0" w:firstLineChars="0"/>
        <w:jc w:val="center"/>
        <w:rPr>
          <w:b/>
          <w:sz w:val="24"/>
          <w:szCs w:val="24"/>
        </w:rPr>
      </w:pPr>
      <w:r>
        <w:rPr>
          <w:rFonts w:hint="eastAsia"/>
          <w:b/>
          <w:bCs/>
          <w:sz w:val="24"/>
          <w:szCs w:val="24"/>
        </w:rPr>
        <w:t xml:space="preserve">表 </w:t>
      </w:r>
      <w:r>
        <w:rPr>
          <w:bCs/>
          <w:sz w:val="24"/>
          <w:szCs w:val="24"/>
        </w:rPr>
        <w:fldChar w:fldCharType="begin"/>
      </w:r>
      <w:r>
        <w:rPr>
          <w:bCs/>
          <w:sz w:val="24"/>
          <w:szCs w:val="24"/>
        </w:rPr>
        <w:instrText xml:space="preserve"> </w:instrText>
      </w:r>
      <w:r>
        <w:rPr>
          <w:rFonts w:hint="eastAsia"/>
          <w:bCs/>
          <w:sz w:val="24"/>
          <w:szCs w:val="24"/>
        </w:rPr>
        <w:instrText xml:space="preserve">SEQ 表 \* ARABIC</w:instrText>
      </w:r>
      <w:r>
        <w:rPr>
          <w:bCs/>
          <w:sz w:val="24"/>
          <w:szCs w:val="24"/>
        </w:rPr>
        <w:instrText xml:space="preserve"> </w:instrText>
      </w:r>
      <w:r>
        <w:rPr>
          <w:bCs/>
          <w:sz w:val="24"/>
          <w:szCs w:val="24"/>
        </w:rPr>
        <w:fldChar w:fldCharType="separate"/>
      </w:r>
      <w:r>
        <w:rPr>
          <w:bCs/>
          <w:sz w:val="24"/>
          <w:szCs w:val="24"/>
        </w:rPr>
        <w:t>3</w:t>
      </w:r>
      <w:r>
        <w:rPr>
          <w:bCs/>
          <w:sz w:val="24"/>
          <w:szCs w:val="24"/>
        </w:rPr>
        <w:fldChar w:fldCharType="end"/>
      </w:r>
      <w:r>
        <w:rPr>
          <w:rFonts w:hint="eastAsia"/>
          <w:b/>
          <w:bCs/>
          <w:sz w:val="24"/>
          <w:szCs w:val="24"/>
        </w:rPr>
        <w:t>：</w:t>
      </w:r>
      <w:r>
        <w:rPr>
          <w:rFonts w:hint="eastAsia"/>
          <w:b/>
          <w:sz w:val="24"/>
          <w:szCs w:val="24"/>
        </w:rPr>
        <w:t>事实值举例</w:t>
      </w:r>
    </w:p>
    <w:tbl>
      <w:tblPr>
        <w:tblStyle w:val="5"/>
        <w:tblW w:w="8315"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772"/>
        <w:gridCol w:w="2336"/>
        <w:gridCol w:w="3207"/>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银行电子回单信息项</w:t>
            </w:r>
          </w:p>
        </w:tc>
        <w:tc>
          <w:tcPr>
            <w:tcW w:w="2336"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数据类型</w:t>
            </w:r>
          </w:p>
        </w:tc>
        <w:tc>
          <w:tcPr>
            <w:tcW w:w="3207" w:type="dxa"/>
            <w:shd w:val="clear" w:color="auto" w:fill="auto"/>
            <w:vAlign w:val="center"/>
          </w:tcPr>
          <w:p>
            <w:pPr>
              <w:spacing w:after="0" w:line="560" w:lineRule="exact"/>
              <w:jc w:val="center"/>
              <w:rPr>
                <w:rFonts w:ascii="Times New Roman" w:hAnsi="Times New Roman" w:eastAsia="仿宋_GB2312"/>
                <w:b/>
                <w:color w:val="000000"/>
                <w:sz w:val="24"/>
                <w:szCs w:val="24"/>
              </w:rPr>
            </w:pPr>
            <w:r>
              <w:rPr>
                <w:rFonts w:hint="eastAsia" w:ascii="Times New Roman" w:hAnsi="Times New Roman" w:eastAsia="仿宋_GB2312"/>
                <w:b/>
                <w:color w:val="000000"/>
                <w:sz w:val="24"/>
                <w:szCs w:val="24"/>
              </w:rPr>
              <w:t>事实值例举</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小写金额</w:t>
            </w:r>
          </w:p>
        </w:tc>
        <w:tc>
          <w:tcPr>
            <w:tcW w:w="2336"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货币型</w:t>
            </w:r>
          </w:p>
        </w:tc>
        <w:tc>
          <w:tcPr>
            <w:tcW w:w="3207" w:type="dxa"/>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color w:val="000000"/>
                <w:sz w:val="24"/>
                <w:szCs w:val="24"/>
              </w:rPr>
              <w:t>1000000.00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记账日期</w:t>
            </w:r>
          </w:p>
        </w:tc>
        <w:tc>
          <w:tcPr>
            <w:tcW w:w="2336"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日期型</w:t>
            </w:r>
          </w:p>
        </w:tc>
        <w:tc>
          <w:tcPr>
            <w:tcW w:w="3207" w:type="dxa"/>
            <w:vAlign w:val="center"/>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color w:val="000000"/>
                <w:sz w:val="24"/>
                <w:szCs w:val="24"/>
              </w:rPr>
              <w:t>2022-08-18</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会计期间</w:t>
            </w:r>
          </w:p>
        </w:tc>
        <w:tc>
          <w:tcPr>
            <w:tcW w:w="2336"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年月型</w:t>
            </w:r>
          </w:p>
        </w:tc>
        <w:tc>
          <w:tcPr>
            <w:tcW w:w="3207"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2</w:t>
            </w:r>
            <w:r>
              <w:rPr>
                <w:rFonts w:ascii="Times New Roman" w:hAnsi="Times New Roman" w:eastAsia="仿宋_GB2312"/>
                <w:color w:val="000000"/>
                <w:sz w:val="24"/>
                <w:szCs w:val="24"/>
              </w:rPr>
              <w:t>022-08</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记账柜员</w:t>
            </w:r>
          </w:p>
        </w:tc>
        <w:tc>
          <w:tcPr>
            <w:tcW w:w="2336"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字符型</w:t>
            </w:r>
          </w:p>
        </w:tc>
        <w:tc>
          <w:tcPr>
            <w:tcW w:w="3207"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张三</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记账时间</w:t>
            </w:r>
          </w:p>
        </w:tc>
        <w:tc>
          <w:tcPr>
            <w:tcW w:w="2336"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时间型</w:t>
            </w:r>
          </w:p>
        </w:tc>
        <w:tc>
          <w:tcPr>
            <w:tcW w:w="3207" w:type="dxa"/>
          </w:tcPr>
          <w:p>
            <w:pPr>
              <w:spacing w:after="0" w:line="560" w:lineRule="exact"/>
              <w:jc w:val="both"/>
              <w:rPr>
                <w:rFonts w:ascii="Times New Roman" w:hAnsi="Times New Roman" w:eastAsia="仿宋_GB2312"/>
                <w:color w:val="000000"/>
                <w:sz w:val="24"/>
                <w:szCs w:val="24"/>
              </w:rPr>
            </w:pPr>
            <w:r>
              <w:rPr>
                <w:rFonts w:ascii="Times New Roman" w:hAnsi="Times New Roman" w:eastAsia="仿宋_GB2312"/>
                <w:color w:val="000000"/>
                <w:sz w:val="24"/>
                <w:szCs w:val="24"/>
              </w:rPr>
              <w:t>15:07:11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2772"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是否已认领</w:t>
            </w:r>
          </w:p>
        </w:tc>
        <w:tc>
          <w:tcPr>
            <w:tcW w:w="2336"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布尔型</w:t>
            </w:r>
          </w:p>
        </w:tc>
        <w:tc>
          <w:tcPr>
            <w:tcW w:w="3207" w:type="dxa"/>
            <w:vAlign w:val="center"/>
          </w:tcPr>
          <w:p>
            <w:pPr>
              <w:spacing w:after="0" w:line="560" w:lineRule="exact"/>
              <w:jc w:val="both"/>
              <w:rPr>
                <w:rFonts w:ascii="Times New Roman" w:hAnsi="Times New Roman" w:eastAsia="仿宋_GB2312"/>
                <w:color w:val="000000"/>
                <w:sz w:val="24"/>
                <w:szCs w:val="24"/>
              </w:rPr>
            </w:pPr>
            <w:r>
              <w:rPr>
                <w:rFonts w:hint="eastAsia" w:ascii="Times New Roman" w:hAnsi="Times New Roman" w:eastAsia="仿宋_GB2312"/>
                <w:color w:val="000000"/>
                <w:sz w:val="24"/>
                <w:szCs w:val="24"/>
              </w:rPr>
              <w:t>true</w:t>
            </w:r>
          </w:p>
        </w:tc>
      </w:tr>
    </w:tbl>
    <w:p>
      <w:pPr>
        <w:pStyle w:val="14"/>
        <w:keepNext w:val="0"/>
        <w:keepLines w:val="0"/>
        <w:pageBreakBefore w:val="0"/>
        <w:widowControl/>
        <w:kinsoku/>
        <w:wordWrap/>
        <w:overflowPunct/>
        <w:topLinePunct w:val="0"/>
        <w:autoSpaceDE/>
        <w:autoSpaceDN/>
        <w:bidi w:val="0"/>
        <w:adjustRightInd/>
        <w:snapToGrid/>
        <w:spacing w:after="0" w:line="560" w:lineRule="exact"/>
        <w:ind w:firstLine="562"/>
        <w:textAlignment w:val="auto"/>
        <w:outlineLvl w:val="9"/>
      </w:pPr>
      <w:r>
        <w:rPr>
          <w:rFonts w:cs="Times New Roman"/>
        </w:rPr>
        <w:t>1</w:t>
      </w:r>
      <w:r>
        <w:rPr>
          <w:rFonts w:hint="eastAsia" w:cs="Times New Roman"/>
        </w:rPr>
        <w:t>．</w:t>
      </w:r>
      <w:r>
        <w:rPr>
          <w:rFonts w:hint="eastAsia"/>
        </w:rPr>
        <w:t>数值型事实值</w:t>
      </w:r>
    </w:p>
    <w:p>
      <w:pPr>
        <w:pStyle w:val="11"/>
        <w:wordWrap/>
        <w:spacing w:after="0" w:line="560" w:lineRule="exact"/>
      </w:pPr>
      <w:r>
        <w:rPr>
          <w:rFonts w:hint="eastAsia"/>
        </w:rPr>
        <w:t>数值型事实值的定义，除了通过contextRef指向一个预定义的上下文（context），还会通过unitRef指向一个预定的单位（unit），并通过事实值的decimals（小数点后位数）属性表达数据的精确度，图</w:t>
      </w:r>
      <w:r>
        <w:t>1</w:t>
      </w:r>
      <w:r>
        <w:rPr>
          <w:rFonts w:hint="eastAsia"/>
        </w:rPr>
        <w:t>是“小写金额”对应的事实值定义信息：</w:t>
      </w:r>
    </w:p>
    <w:tbl>
      <w:tblPr>
        <w:tblStyle w:val="6"/>
        <w:tblW w:w="94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9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rPr>
          <w:jc w:val="center"/>
        </w:trPr>
        <w:tc>
          <w:tcPr>
            <w:tcW w:w="9497" w:type="dxa"/>
            <w:shd w:val="clear" w:color="auto" w:fill="F1F1F1" w:themeFill="background1" w:themeFillShade="F2"/>
          </w:tcPr>
          <w:p>
            <w:pPr>
              <w:pStyle w:val="11"/>
              <w:spacing w:after="312" w:afterLines="100" w:line="560" w:lineRule="exact"/>
              <w:ind w:firstLine="0" w:firstLineChars="0"/>
              <w:rPr>
                <w:sz w:val="24"/>
                <w:szCs w:val="24"/>
              </w:rPr>
            </w:pPr>
            <w:r>
              <w:rPr>
                <w:sz w:val="24"/>
                <w:szCs w:val="24"/>
              </w:rPr>
              <w:t>&lt;bker:TransactionAmountInFigures decimals="2" contextRef="</w:t>
            </w:r>
            <w:r>
              <w:rPr>
                <w:rFonts w:hint="eastAsia"/>
                <w:sz w:val="24"/>
                <w:szCs w:val="24"/>
              </w:rPr>
              <w:t>c</w:t>
            </w:r>
            <w:r>
              <w:rPr>
                <w:sz w:val="24"/>
                <w:szCs w:val="24"/>
              </w:rPr>
              <w:t>1" unitRef="CNY"&gt;1000000.00&lt;/bker:TransactionAmountInFigures&gt;</w:t>
            </w:r>
          </w:p>
        </w:tc>
      </w:tr>
    </w:tbl>
    <w:p>
      <w:pPr>
        <w:pStyle w:val="11"/>
        <w:wordWrap/>
        <w:spacing w:after="0" w:line="560" w:lineRule="exact"/>
        <w:ind w:firstLine="0" w:firstLineChars="0"/>
        <w:jc w:val="center"/>
        <w:rPr>
          <w:b/>
          <w:sz w:val="24"/>
          <w:szCs w:val="24"/>
        </w:rPr>
      </w:pPr>
      <w:r>
        <w:rPr>
          <w:rFonts w:hint="eastAsia"/>
          <w:b/>
          <w:sz w:val="24"/>
          <w:szCs w:val="24"/>
        </w:rPr>
        <w:t>图</w:t>
      </w:r>
      <w:r>
        <w:rPr>
          <w:b/>
          <w:sz w:val="24"/>
          <w:szCs w:val="24"/>
        </w:rPr>
        <w:t>1</w:t>
      </w:r>
      <w:r>
        <w:rPr>
          <w:rFonts w:hint="eastAsia"/>
          <w:b/>
          <w:sz w:val="24"/>
          <w:szCs w:val="24"/>
        </w:rPr>
        <w:t>：数值型事实值定义方式示例</w:t>
      </w:r>
    </w:p>
    <w:p>
      <w:pPr>
        <w:pStyle w:val="14"/>
        <w:keepNext w:val="0"/>
        <w:keepLines w:val="0"/>
        <w:pageBreakBefore w:val="0"/>
        <w:widowControl/>
        <w:kinsoku/>
        <w:wordWrap/>
        <w:overflowPunct/>
        <w:topLinePunct w:val="0"/>
        <w:autoSpaceDE/>
        <w:autoSpaceDN/>
        <w:bidi w:val="0"/>
        <w:adjustRightInd/>
        <w:snapToGrid/>
        <w:spacing w:after="0" w:line="560" w:lineRule="exact"/>
        <w:ind w:firstLine="562"/>
        <w:textAlignment w:val="auto"/>
        <w:outlineLvl w:val="9"/>
      </w:pPr>
      <w:r>
        <w:rPr>
          <w:rFonts w:cs="Times New Roman"/>
        </w:rPr>
        <w:t>2</w:t>
      </w:r>
      <w:r>
        <w:rPr>
          <w:rFonts w:hint="eastAsia" w:cs="Times New Roman"/>
        </w:rPr>
        <w:t>．</w:t>
      </w:r>
      <w:r>
        <w:rPr>
          <w:rFonts w:hint="eastAsia"/>
        </w:rPr>
        <w:t>非数值型事实值</w:t>
      </w:r>
    </w:p>
    <w:p>
      <w:pPr>
        <w:pStyle w:val="11"/>
        <w:wordWrap/>
        <w:spacing w:after="0" w:line="560" w:lineRule="exact"/>
        <w:ind w:firstLine="562" w:firstLineChars="0"/>
      </w:pPr>
      <w:r>
        <w:rPr>
          <w:rFonts w:hint="eastAsia"/>
        </w:rPr>
        <w:t>非数值型事实值的定义，是将事实值赋予给对应的元素名，并通过contextRef指向一个预定义的上下文（context），图</w:t>
      </w:r>
      <w:r>
        <w:t>2</w:t>
      </w:r>
      <w:r>
        <w:rPr>
          <w:rFonts w:hint="eastAsia"/>
        </w:rPr>
        <w:t>为“是否已认领”对应的事实值定义信息：</w:t>
      </w:r>
    </w:p>
    <w:tbl>
      <w:tblPr>
        <w:tblStyle w:val="6"/>
        <w:tblW w:w="93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9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rPr>
          <w:trHeight w:val="1156" w:hRule="atLeast"/>
          <w:jc w:val="center"/>
        </w:trPr>
        <w:tc>
          <w:tcPr>
            <w:tcW w:w="9322" w:type="dxa"/>
            <w:shd w:val="clear" w:color="auto" w:fill="F1F1F1" w:themeFill="background1" w:themeFillShade="F2"/>
          </w:tcPr>
          <w:p>
            <w:pPr>
              <w:pStyle w:val="11"/>
              <w:spacing w:after="312" w:afterLines="100" w:line="560" w:lineRule="exact"/>
              <w:ind w:firstLine="0" w:firstLineChars="0"/>
              <w:rPr>
                <w:sz w:val="24"/>
                <w:szCs w:val="24"/>
              </w:rPr>
            </w:pPr>
            <w:r>
              <w:rPr>
                <w:sz w:val="24"/>
                <w:szCs w:val="24"/>
              </w:rPr>
              <w:t>&lt;bker:WhetherInvoiceHasBeenClaimed contextRef="c1"&gt;true&lt;/bker:WhetherInvoiceHasBeenClaimed&gt;</w:t>
            </w:r>
          </w:p>
        </w:tc>
      </w:tr>
    </w:tbl>
    <w:p>
      <w:pPr>
        <w:pStyle w:val="11"/>
        <w:wordWrap/>
        <w:spacing w:after="0" w:line="560" w:lineRule="exact"/>
        <w:ind w:firstLine="0" w:firstLineChars="0"/>
        <w:jc w:val="center"/>
        <w:rPr>
          <w:b/>
          <w:sz w:val="24"/>
          <w:szCs w:val="24"/>
        </w:rPr>
      </w:pPr>
      <w:r>
        <w:rPr>
          <w:rFonts w:hint="eastAsia"/>
          <w:b/>
          <w:sz w:val="24"/>
          <w:szCs w:val="24"/>
        </w:rPr>
        <w:t>图</w:t>
      </w:r>
      <w:r>
        <w:rPr>
          <w:b/>
          <w:sz w:val="24"/>
          <w:szCs w:val="24"/>
        </w:rPr>
        <w:t>2</w:t>
      </w:r>
      <w:r>
        <w:rPr>
          <w:rFonts w:hint="eastAsia"/>
          <w:b/>
          <w:sz w:val="24"/>
          <w:szCs w:val="24"/>
        </w:rPr>
        <w:t>：非数值型事实值定义方式示例</w:t>
      </w:r>
    </w:p>
    <w:p>
      <w:pPr>
        <w:pStyle w:val="11"/>
        <w:numPr>
          <w:ilvl w:val="0"/>
          <w:numId w:val="4"/>
        </w:numPr>
        <w:wordWrap/>
        <w:spacing w:after="0" w:line="560" w:lineRule="exact"/>
        <w:ind w:firstLineChars="0"/>
        <w:rPr>
          <w:b/>
          <w:bCs/>
        </w:rPr>
      </w:pPr>
      <w:r>
        <w:rPr>
          <w:rFonts w:hint="eastAsia"/>
          <w:b/>
          <w:bCs/>
        </w:rPr>
        <w:t>上下文</w:t>
      </w:r>
    </w:p>
    <w:p>
      <w:pPr>
        <w:pStyle w:val="11"/>
        <w:wordWrap/>
        <w:spacing w:after="0" w:line="560" w:lineRule="exact"/>
        <w:rPr>
          <w:color w:val="000000"/>
          <w:szCs w:val="24"/>
          <w:lang w:val="en-GB"/>
        </w:rPr>
      </w:pPr>
      <w:r>
        <w:rPr>
          <w:rFonts w:hint="eastAsia"/>
        </w:rPr>
        <w:t>每个事实值都会通过contextRef属性赋予的上下文ID指向预定义的上下文（context）。</w:t>
      </w:r>
      <w:r>
        <w:rPr>
          <w:color w:val="000000"/>
          <w:szCs w:val="24"/>
          <w:lang w:val="en-GB"/>
        </w:rPr>
        <w:t>通过指定上下文，才能够确定事实值的具体含义</w:t>
      </w:r>
      <w:r>
        <w:rPr>
          <w:rFonts w:hint="eastAsia"/>
          <w:color w:val="000000"/>
          <w:szCs w:val="24"/>
          <w:lang w:val="en-GB"/>
        </w:rPr>
        <w:t>。</w:t>
      </w:r>
    </w:p>
    <w:p>
      <w:pPr>
        <w:pStyle w:val="11"/>
        <w:wordWrap/>
        <w:spacing w:after="0" w:line="560" w:lineRule="exact"/>
      </w:pPr>
      <w:r>
        <w:rPr>
          <w:rFonts w:hint="eastAsia"/>
        </w:rPr>
        <w:t>上下文要素包括：实体信息（entity）、时期信息（period）和场景信息（scenario）。在根标签下，使用&lt;xbrli:context&gt;标签定义元素数据的上下文信息，下设子标签&lt;xbrli:entity&gt;、&lt;xbrli:period&gt;、&lt;xbrli:scenario&gt;，用于标记上文所述的实体信息、时期信息和场景信息。</w:t>
      </w:r>
    </w:p>
    <w:p>
      <w:pPr>
        <w:pStyle w:val="14"/>
        <w:keepNext w:val="0"/>
        <w:keepLines w:val="0"/>
        <w:pageBreakBefore w:val="0"/>
        <w:widowControl/>
        <w:numPr>
          <w:ilvl w:val="0"/>
          <w:numId w:val="0"/>
        </w:numPr>
        <w:kinsoku/>
        <w:wordWrap/>
        <w:overflowPunct/>
        <w:topLinePunct w:val="0"/>
        <w:autoSpaceDE/>
        <w:autoSpaceDN/>
        <w:bidi w:val="0"/>
        <w:adjustRightInd/>
        <w:snapToGrid/>
        <w:spacing w:after="0" w:line="560" w:lineRule="exact"/>
        <w:ind w:firstLine="562" w:firstLineChars="200"/>
        <w:textAlignment w:val="auto"/>
        <w:outlineLvl w:val="9"/>
      </w:pPr>
      <w:r>
        <w:rPr>
          <w:rFonts w:cs="Times New Roman"/>
        </w:rPr>
        <w:t>1</w:t>
      </w:r>
      <w:r>
        <w:rPr>
          <w:rFonts w:hint="eastAsia" w:cs="Times New Roman"/>
        </w:rPr>
        <w:t>．</w:t>
      </w:r>
      <w:r>
        <w:rPr>
          <w:rFonts w:hint="eastAsia"/>
        </w:rPr>
        <w:t>实体信息</w:t>
      </w:r>
    </w:p>
    <w:p>
      <w:pPr>
        <w:pStyle w:val="11"/>
        <w:wordWrap/>
        <w:spacing w:after="0" w:line="560" w:lineRule="exact"/>
      </w:pPr>
      <w:r>
        <w:rPr>
          <w:rFonts w:hint="eastAsia"/>
        </w:rPr>
        <w:t>实体信息即指实例文档数据的发布者信息，使用标签&lt;xbrli:entity&gt;标记。在电子回单中，开具方实例文档使用签发机构代码编号作为实体的唯一标识码，接收方实例文档使用会计主体统一社会信用代码作为实体的唯一标识码，在&lt;xbrli:identifier&gt;标签的文本中标记。</w:t>
      </w:r>
    </w:p>
    <w:p>
      <w:pPr>
        <w:pStyle w:val="14"/>
        <w:keepNext w:val="0"/>
        <w:keepLines w:val="0"/>
        <w:pageBreakBefore w:val="0"/>
        <w:widowControl/>
        <w:numPr>
          <w:ilvl w:val="0"/>
          <w:numId w:val="0"/>
        </w:numPr>
        <w:kinsoku/>
        <w:wordWrap/>
        <w:overflowPunct/>
        <w:topLinePunct w:val="0"/>
        <w:autoSpaceDE/>
        <w:autoSpaceDN/>
        <w:bidi w:val="0"/>
        <w:adjustRightInd/>
        <w:snapToGrid/>
        <w:spacing w:after="0" w:line="560" w:lineRule="exact"/>
        <w:ind w:firstLine="562" w:firstLineChars="200"/>
        <w:textAlignment w:val="auto"/>
        <w:outlineLvl w:val="9"/>
      </w:pPr>
      <w:r>
        <w:rPr>
          <w:rFonts w:hint="eastAsia" w:cs="Times New Roman"/>
          <w:lang w:val="en-US" w:eastAsia="zh-CN"/>
        </w:rPr>
        <w:t>2</w:t>
      </w:r>
      <w:r>
        <w:rPr>
          <w:rFonts w:hint="eastAsia" w:cs="Times New Roman"/>
        </w:rPr>
        <w:t>．</w:t>
      </w:r>
      <w:r>
        <w:rPr>
          <w:rFonts w:hint="eastAsia"/>
        </w:rPr>
        <w:t>时</w:t>
      </w:r>
      <w:bookmarkStart w:id="3" w:name="_GoBack"/>
      <w:bookmarkEnd w:id="3"/>
      <w:r>
        <w:rPr>
          <w:rFonts w:hint="eastAsia"/>
        </w:rPr>
        <w:t>期信息</w:t>
      </w:r>
    </w:p>
    <w:p>
      <w:pPr>
        <w:pStyle w:val="11"/>
        <w:wordWrap/>
        <w:spacing w:after="0" w:line="560" w:lineRule="exact"/>
      </w:pPr>
      <w:r>
        <w:rPr>
          <w:rFonts w:hint="eastAsia"/>
          <w:color w:val="000000"/>
          <w:szCs w:val="24"/>
          <w:lang w:val="en-GB"/>
        </w:rPr>
        <w:t>时期信息</w:t>
      </w:r>
      <w:r>
        <w:rPr>
          <w:color w:val="000000"/>
          <w:szCs w:val="24"/>
          <w:lang w:val="en-GB"/>
        </w:rPr>
        <w:t>是指事实值所对应的日期或期间</w:t>
      </w:r>
      <w:r>
        <w:rPr>
          <w:rFonts w:hint="eastAsia"/>
          <w:color w:val="000000"/>
          <w:szCs w:val="24"/>
          <w:lang w:val="en-GB"/>
        </w:rPr>
        <w:t>，</w:t>
      </w:r>
      <w:r>
        <w:rPr>
          <w:rFonts w:hint="eastAsia"/>
        </w:rPr>
        <w:t>使用标签&lt;xbrli:period&gt;标记。在银行电子回单中，期间类型均为时点型，使用&lt;xbrli:instant&gt;标签表示，统一采用yyyy-mm-dd的日期格式。</w:t>
      </w:r>
    </w:p>
    <w:p>
      <w:pPr>
        <w:pStyle w:val="11"/>
        <w:numPr>
          <w:ilvl w:val="0"/>
          <w:numId w:val="4"/>
        </w:numPr>
        <w:wordWrap/>
        <w:spacing w:after="0" w:line="560" w:lineRule="exact"/>
        <w:ind w:firstLineChars="0"/>
        <w:rPr>
          <w:b/>
          <w:bCs/>
        </w:rPr>
      </w:pPr>
      <w:r>
        <w:rPr>
          <w:rFonts w:hint="eastAsia"/>
          <w:b/>
          <w:bCs/>
        </w:rPr>
        <w:t>单位和精确度</w:t>
      </w:r>
    </w:p>
    <w:p>
      <w:pPr>
        <w:pStyle w:val="11"/>
        <w:wordWrap/>
        <w:spacing w:after="0" w:line="560" w:lineRule="exact"/>
      </w:pPr>
      <w:r>
        <w:rPr>
          <w:rFonts w:hint="eastAsia"/>
          <w:lang w:val="en-GB"/>
        </w:rPr>
        <w:t>单位</w:t>
      </w:r>
      <w:r>
        <w:rPr>
          <w:lang w:val="en-GB"/>
        </w:rPr>
        <w:t>是用来说明数值型数据（非字符串及转义文本）的度量单位，最常见的度量单位就是货币型的单位，例如人民币、美元等。数值型数据的事实值应通过</w:t>
      </w:r>
      <w:r>
        <w:rPr>
          <w:rFonts w:hint="eastAsia"/>
          <w:lang w:val="en-GB"/>
        </w:rPr>
        <w:t>单位指向（</w:t>
      </w:r>
      <w:r>
        <w:rPr>
          <w:lang w:val="en-GB"/>
        </w:rPr>
        <w:t>unitRef</w:t>
      </w:r>
      <w:r>
        <w:rPr>
          <w:rFonts w:hint="eastAsia"/>
          <w:lang w:val="en-GB"/>
        </w:rPr>
        <w:t>）</w:t>
      </w:r>
      <w:r>
        <w:rPr>
          <w:lang w:val="en-GB"/>
        </w:rPr>
        <w:t>属性</w:t>
      </w:r>
      <w:r>
        <w:rPr>
          <w:rFonts w:hint="eastAsia"/>
          <w:lang w:val="en-GB"/>
        </w:rPr>
        <w:t>将定义</w:t>
      </w:r>
      <w:r>
        <w:rPr>
          <w:lang w:val="en-GB"/>
        </w:rPr>
        <w:t>的单位ID（</w:t>
      </w:r>
      <w:r>
        <w:rPr>
          <w:rFonts w:hint="eastAsia"/>
          <w:lang w:val="en-GB"/>
        </w:rPr>
        <w:t>u</w:t>
      </w:r>
      <w:r>
        <w:rPr>
          <w:lang w:val="en-GB"/>
        </w:rPr>
        <w:t>nit ID）指向一个预定的单位；对事实值单位的定义同时也指明了事实值的含义，如为货币型元素赋值时，通过单位的定义能够明确金额所代表的币种。</w:t>
      </w:r>
      <w:r>
        <w:rPr>
          <w:rFonts w:hint="eastAsia"/>
        </w:rPr>
        <w:t>表</w:t>
      </w:r>
      <w:r>
        <w:t>4展示了</w:t>
      </w:r>
      <w:r>
        <w:rPr>
          <w:rFonts w:hint="eastAsia"/>
        </w:rPr>
        <w:t>货币型元素常用的</w:t>
      </w:r>
      <w:r>
        <w:t>单位定义。</w:t>
      </w:r>
    </w:p>
    <w:p>
      <w:pPr>
        <w:pStyle w:val="11"/>
        <w:wordWrap/>
        <w:spacing w:after="0" w:line="560" w:lineRule="exact"/>
        <w:ind w:firstLine="0" w:firstLineChars="0"/>
        <w:jc w:val="center"/>
        <w:rPr>
          <w:b/>
          <w:sz w:val="24"/>
          <w:szCs w:val="24"/>
        </w:rPr>
      </w:pPr>
      <w:r>
        <w:rPr>
          <w:rFonts w:hint="eastAsia"/>
          <w:b/>
          <w:bCs/>
          <w:sz w:val="24"/>
          <w:szCs w:val="24"/>
        </w:rPr>
        <w:t xml:space="preserve">表 </w:t>
      </w:r>
      <w:r>
        <w:rPr>
          <w:bCs/>
          <w:sz w:val="24"/>
          <w:szCs w:val="24"/>
        </w:rPr>
        <w:fldChar w:fldCharType="begin"/>
      </w:r>
      <w:r>
        <w:rPr>
          <w:bCs/>
          <w:sz w:val="24"/>
          <w:szCs w:val="24"/>
        </w:rPr>
        <w:instrText xml:space="preserve"> </w:instrText>
      </w:r>
      <w:r>
        <w:rPr>
          <w:rFonts w:hint="eastAsia"/>
          <w:bCs/>
          <w:sz w:val="24"/>
          <w:szCs w:val="24"/>
        </w:rPr>
        <w:instrText xml:space="preserve">SEQ 表 \* ARABIC</w:instrText>
      </w:r>
      <w:r>
        <w:rPr>
          <w:bCs/>
          <w:sz w:val="24"/>
          <w:szCs w:val="24"/>
        </w:rPr>
        <w:instrText xml:space="preserve"> </w:instrText>
      </w:r>
      <w:r>
        <w:rPr>
          <w:bCs/>
          <w:sz w:val="24"/>
          <w:szCs w:val="24"/>
        </w:rPr>
        <w:fldChar w:fldCharType="separate"/>
      </w:r>
      <w:r>
        <w:rPr>
          <w:bCs/>
          <w:sz w:val="24"/>
          <w:szCs w:val="24"/>
        </w:rPr>
        <w:t>4</w:t>
      </w:r>
      <w:r>
        <w:rPr>
          <w:bCs/>
          <w:sz w:val="24"/>
          <w:szCs w:val="24"/>
        </w:rPr>
        <w:fldChar w:fldCharType="end"/>
      </w:r>
      <w:r>
        <w:rPr>
          <w:rFonts w:hint="eastAsia"/>
          <w:b/>
          <w:bCs/>
          <w:sz w:val="24"/>
          <w:szCs w:val="24"/>
        </w:rPr>
        <w:t>：</w:t>
      </w:r>
      <w:r>
        <w:rPr>
          <w:rFonts w:hint="eastAsia"/>
          <w:b/>
          <w:sz w:val="24"/>
          <w:szCs w:val="24"/>
        </w:rPr>
        <w:t>实例文档常用单位定义举例</w:t>
      </w:r>
    </w:p>
    <w:tbl>
      <w:tblPr>
        <w:tblStyle w:val="5"/>
        <w:tblW w:w="8131" w:type="dxa"/>
        <w:jc w:val="center"/>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2498"/>
        <w:gridCol w:w="1897"/>
        <w:gridCol w:w="2303"/>
        <w:gridCol w:w="1433"/>
      </w:tblGrid>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67" w:hRule="atLeast"/>
          <w:tblHeader/>
          <w:jc w:val="center"/>
        </w:trPr>
        <w:tc>
          <w:tcPr>
            <w:tcW w:w="2498" w:type="dxa"/>
            <w:shd w:val="clear" w:color="auto" w:fill="auto"/>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I</w:t>
            </w:r>
            <w:r>
              <w:rPr>
                <w:rFonts w:ascii="Times New Roman" w:hAnsi="Times New Roman" w:eastAsia="仿宋_GB2312"/>
                <w:b/>
                <w:color w:val="000000"/>
                <w:sz w:val="24"/>
                <w:szCs w:val="24"/>
                <w:lang w:val="en-GB"/>
              </w:rPr>
              <w:t>D</w:t>
            </w:r>
          </w:p>
        </w:tc>
        <w:tc>
          <w:tcPr>
            <w:tcW w:w="1897" w:type="dxa"/>
            <w:shd w:val="clear" w:color="auto" w:fill="auto"/>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单位的含义</w:t>
            </w:r>
          </w:p>
        </w:tc>
        <w:tc>
          <w:tcPr>
            <w:tcW w:w="2303" w:type="dxa"/>
            <w:shd w:val="clear" w:color="auto" w:fill="auto"/>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分子</w:t>
            </w:r>
          </w:p>
        </w:tc>
        <w:tc>
          <w:tcPr>
            <w:tcW w:w="1433" w:type="dxa"/>
            <w:shd w:val="clear" w:color="auto" w:fill="auto"/>
            <w:vAlign w:val="center"/>
          </w:tcPr>
          <w:p>
            <w:pPr>
              <w:spacing w:after="0" w:line="240" w:lineRule="auto"/>
              <w:jc w:val="center"/>
              <w:rPr>
                <w:rFonts w:ascii="Times New Roman" w:hAnsi="Times New Roman" w:eastAsia="仿宋_GB2312"/>
                <w:b/>
                <w:color w:val="000000"/>
                <w:sz w:val="24"/>
                <w:szCs w:val="24"/>
                <w:lang w:val="en-GB"/>
              </w:rPr>
            </w:pPr>
            <w:r>
              <w:rPr>
                <w:rFonts w:hint="eastAsia" w:ascii="Times New Roman" w:hAnsi="Times New Roman" w:eastAsia="仿宋_GB2312"/>
                <w:b/>
                <w:color w:val="000000"/>
                <w:sz w:val="24"/>
                <w:szCs w:val="24"/>
                <w:lang w:val="en-GB"/>
              </w:rPr>
              <w:t>分母</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498" w:type="dxa"/>
            <w:vAlign w:val="center"/>
          </w:tcPr>
          <w:p>
            <w:pPr>
              <w:spacing w:after="0" w:line="240" w:lineRule="auto"/>
              <w:jc w:val="both"/>
              <w:rPr>
                <w:rFonts w:ascii="Times New Roman" w:hAnsi="Times New Roman" w:eastAsia="仿宋_GB2312"/>
                <w:color w:val="000000"/>
                <w:sz w:val="24"/>
                <w:szCs w:val="24"/>
                <w:lang w:val="en-GB"/>
              </w:rPr>
            </w:pPr>
            <w:r>
              <w:rPr>
                <w:rFonts w:hint="eastAsia" w:ascii="Times New Roman" w:hAnsi="Times New Roman" w:eastAsia="仿宋_GB2312"/>
                <w:color w:val="000000"/>
                <w:sz w:val="24"/>
                <w:szCs w:val="24"/>
                <w:lang w:val="en-GB"/>
              </w:rPr>
              <w:t>u1</w:t>
            </w:r>
          </w:p>
        </w:tc>
        <w:tc>
          <w:tcPr>
            <w:tcW w:w="1897" w:type="dxa"/>
            <w:vAlign w:val="center"/>
          </w:tcPr>
          <w:p>
            <w:pPr>
              <w:spacing w:after="0" w:line="240" w:lineRule="auto"/>
              <w:jc w:val="both"/>
              <w:rPr>
                <w:rFonts w:ascii="Times New Roman" w:hAnsi="Times New Roman" w:eastAsia="仿宋_GB2312"/>
                <w:color w:val="000000"/>
                <w:sz w:val="24"/>
                <w:szCs w:val="24"/>
                <w:lang w:val="en-GB"/>
              </w:rPr>
            </w:pPr>
            <w:r>
              <w:rPr>
                <w:rFonts w:hint="eastAsia" w:ascii="Times New Roman" w:hAnsi="Times New Roman" w:eastAsia="仿宋_GB2312"/>
                <w:color w:val="000000"/>
                <w:sz w:val="24"/>
                <w:szCs w:val="24"/>
                <w:lang w:val="en-GB"/>
              </w:rPr>
              <w:t>人民币</w:t>
            </w:r>
          </w:p>
        </w:tc>
        <w:tc>
          <w:tcPr>
            <w:tcW w:w="2303" w:type="dxa"/>
            <w:vAlign w:val="center"/>
          </w:tcPr>
          <w:p>
            <w:pPr>
              <w:spacing w:after="0" w:line="240" w:lineRule="auto"/>
              <w:jc w:val="both"/>
              <w:rPr>
                <w:rFonts w:ascii="Times New Roman" w:hAnsi="Times New Roman" w:eastAsia="仿宋_GB2312"/>
                <w:color w:val="000000"/>
                <w:sz w:val="24"/>
                <w:szCs w:val="24"/>
                <w:lang w:val="en-GB"/>
              </w:rPr>
            </w:pPr>
            <w:r>
              <w:rPr>
                <w:rFonts w:ascii="Times New Roman" w:hAnsi="Times New Roman" w:eastAsia="仿宋_GB2312"/>
                <w:color w:val="000000"/>
                <w:sz w:val="24"/>
                <w:szCs w:val="24"/>
                <w:lang w:val="en-GB"/>
              </w:rPr>
              <w:t>iso4217:CNY</w:t>
            </w:r>
          </w:p>
        </w:tc>
        <w:tc>
          <w:tcPr>
            <w:tcW w:w="1433" w:type="dxa"/>
            <w:vAlign w:val="center"/>
          </w:tcPr>
          <w:p>
            <w:pPr>
              <w:spacing w:after="0" w:line="240" w:lineRule="auto"/>
              <w:jc w:val="both"/>
              <w:rPr>
                <w:rFonts w:ascii="Times New Roman" w:hAnsi="Times New Roman" w:eastAsia="仿宋_GB2312"/>
                <w:color w:val="000000"/>
                <w:sz w:val="24"/>
                <w:szCs w:val="24"/>
                <w:lang w:val="en-GB"/>
              </w:rPr>
            </w:pPr>
            <w:r>
              <w:rPr>
                <w:rFonts w:hint="eastAsia" w:ascii="Times New Roman" w:hAnsi="Times New Roman" w:eastAsia="仿宋_GB2312"/>
                <w:color w:val="000000"/>
                <w:sz w:val="24"/>
                <w:szCs w:val="24"/>
                <w:lang w:val="en-GB"/>
              </w:rPr>
              <w:t>不适用</w:t>
            </w:r>
          </w:p>
        </w:tc>
      </w:tr>
    </w:tbl>
    <w:p>
      <w:pPr>
        <w:pStyle w:val="11"/>
        <w:wordWrap/>
        <w:spacing w:after="0" w:line="560" w:lineRule="exact"/>
      </w:pPr>
      <w:r>
        <w:rPr>
          <w:rFonts w:hint="eastAsia"/>
        </w:rPr>
        <w:t>在根标签中，使用&lt;xbrli:unit&gt;标签预定义计量单位，单位的定义方式如图3所示：</w:t>
      </w:r>
    </w:p>
    <w:tbl>
      <w:tblPr>
        <w:tblStyle w:val="6"/>
        <w:tblW w:w="8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8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30" w:type="dxa"/>
            <w:shd w:val="clear" w:color="auto" w:fill="F1F1F1" w:themeFill="background1" w:themeFillShade="F2"/>
          </w:tcPr>
          <w:p>
            <w:pPr>
              <w:pStyle w:val="11"/>
              <w:spacing w:after="0" w:line="560" w:lineRule="exact"/>
              <w:ind w:firstLine="0" w:firstLineChars="0"/>
              <w:rPr>
                <w:sz w:val="24"/>
                <w:szCs w:val="24"/>
              </w:rPr>
            </w:pPr>
            <w:r>
              <w:rPr>
                <w:sz w:val="24"/>
                <w:szCs w:val="24"/>
              </w:rPr>
              <w:t>&lt;xbrli:unit id="u1"&gt;</w:t>
            </w:r>
          </w:p>
          <w:p>
            <w:pPr>
              <w:pStyle w:val="11"/>
              <w:spacing w:after="0" w:line="560" w:lineRule="exact"/>
              <w:ind w:firstLine="480"/>
              <w:rPr>
                <w:sz w:val="24"/>
                <w:szCs w:val="24"/>
              </w:rPr>
            </w:pPr>
            <w:r>
              <w:rPr>
                <w:sz w:val="24"/>
                <w:szCs w:val="24"/>
              </w:rPr>
              <w:t>&lt;xbrli:measure&gt;iso4217:CNY&lt;/xbrli:measure&gt;</w:t>
            </w:r>
          </w:p>
          <w:p>
            <w:pPr>
              <w:pStyle w:val="11"/>
              <w:spacing w:after="0" w:line="560" w:lineRule="exact"/>
              <w:ind w:firstLine="0" w:firstLineChars="0"/>
              <w:rPr>
                <w:sz w:val="24"/>
                <w:szCs w:val="24"/>
              </w:rPr>
            </w:pPr>
            <w:r>
              <w:rPr>
                <w:sz w:val="24"/>
                <w:szCs w:val="24"/>
              </w:rPr>
              <w:t>&lt;/xbrli:unit&gt;</w:t>
            </w:r>
          </w:p>
        </w:tc>
      </w:tr>
    </w:tbl>
    <w:p>
      <w:pPr>
        <w:pStyle w:val="11"/>
        <w:wordWrap/>
        <w:spacing w:after="0" w:line="560" w:lineRule="exact"/>
        <w:ind w:firstLine="0" w:firstLineChars="0"/>
        <w:jc w:val="center"/>
        <w:rPr>
          <w:b/>
          <w:sz w:val="24"/>
          <w:szCs w:val="24"/>
        </w:rPr>
      </w:pPr>
      <w:r>
        <w:rPr>
          <w:rFonts w:hint="eastAsia"/>
          <w:b/>
          <w:sz w:val="24"/>
          <w:szCs w:val="24"/>
        </w:rPr>
        <w:t>图</w:t>
      </w:r>
      <w:r>
        <w:rPr>
          <w:b/>
          <w:sz w:val="24"/>
          <w:szCs w:val="24"/>
        </w:rPr>
        <w:t>3</w:t>
      </w:r>
      <w:r>
        <w:rPr>
          <w:rFonts w:hint="eastAsia"/>
          <w:b/>
          <w:sz w:val="24"/>
          <w:szCs w:val="24"/>
        </w:rPr>
        <w:t>：单位信息标记示例</w:t>
      </w:r>
    </w:p>
    <w:p>
      <w:pPr>
        <w:pStyle w:val="11"/>
        <w:wordWrap/>
        <w:spacing w:after="0" w:line="560" w:lineRule="exact"/>
        <w:rPr>
          <w:szCs w:val="28"/>
        </w:rPr>
      </w:pPr>
      <w:r>
        <w:rPr>
          <w:rFonts w:hint="eastAsia"/>
        </w:rPr>
        <w:t>XBRL通过事实值的precision（精确度）或decimal</w:t>
      </w:r>
      <w:r>
        <w:t>s</w:t>
      </w:r>
      <w:r>
        <w:rPr>
          <w:rFonts w:hint="eastAsia"/>
        </w:rPr>
        <w:t>（小数点后位数）属性提供了表达数值型数据精确度的方式，一般使用decimal</w:t>
      </w:r>
      <w:r>
        <w:t>s</w:t>
      </w:r>
      <w:r>
        <w:rPr>
          <w:rFonts w:hint="eastAsia"/>
        </w:rPr>
        <w:t>属性比采用precision属性能够更直观地展示数据的精度。</w:t>
      </w:r>
      <w:r>
        <w:rPr>
          <w:rFonts w:hint="eastAsia"/>
          <w:szCs w:val="28"/>
        </w:rPr>
        <w:t>表</w:t>
      </w:r>
      <w:r>
        <w:rPr>
          <w:szCs w:val="28"/>
        </w:rPr>
        <w:t>5</w:t>
      </w:r>
      <w:r>
        <w:rPr>
          <w:rFonts w:hint="eastAsia"/>
          <w:szCs w:val="28"/>
        </w:rPr>
        <w:t>列示了</w:t>
      </w:r>
      <w:r>
        <w:rPr>
          <w:szCs w:val="28"/>
        </w:rPr>
        <w:t>数值型数据使用decimals属性的例子</w:t>
      </w:r>
      <w:r>
        <w:rPr>
          <w:rFonts w:hint="eastAsia"/>
          <w:szCs w:val="28"/>
        </w:rPr>
        <w:t>。</w:t>
      </w:r>
    </w:p>
    <w:p>
      <w:pPr>
        <w:pStyle w:val="11"/>
        <w:wordWrap/>
        <w:spacing w:after="0" w:line="560" w:lineRule="exact"/>
        <w:ind w:firstLine="0" w:firstLineChars="0"/>
        <w:jc w:val="center"/>
        <w:rPr>
          <w:b/>
          <w:sz w:val="24"/>
          <w:szCs w:val="24"/>
        </w:rPr>
      </w:pPr>
      <w:r>
        <w:rPr>
          <w:rFonts w:hint="eastAsia"/>
          <w:b/>
          <w:bCs/>
          <w:sz w:val="24"/>
          <w:szCs w:val="24"/>
        </w:rPr>
        <w:t xml:space="preserve">表 </w:t>
      </w:r>
      <w:r>
        <w:rPr>
          <w:bCs/>
          <w:sz w:val="24"/>
          <w:szCs w:val="24"/>
        </w:rPr>
        <w:fldChar w:fldCharType="begin"/>
      </w:r>
      <w:r>
        <w:rPr>
          <w:bCs/>
          <w:sz w:val="24"/>
          <w:szCs w:val="24"/>
        </w:rPr>
        <w:instrText xml:space="preserve"> </w:instrText>
      </w:r>
      <w:r>
        <w:rPr>
          <w:rFonts w:hint="eastAsia"/>
          <w:bCs/>
          <w:sz w:val="24"/>
          <w:szCs w:val="24"/>
        </w:rPr>
        <w:instrText xml:space="preserve">SEQ 表 \* ARABIC</w:instrText>
      </w:r>
      <w:r>
        <w:rPr>
          <w:bCs/>
          <w:sz w:val="24"/>
          <w:szCs w:val="24"/>
        </w:rPr>
        <w:instrText xml:space="preserve"> </w:instrText>
      </w:r>
      <w:r>
        <w:rPr>
          <w:bCs/>
          <w:sz w:val="24"/>
          <w:szCs w:val="24"/>
        </w:rPr>
        <w:fldChar w:fldCharType="separate"/>
      </w:r>
      <w:r>
        <w:rPr>
          <w:bCs/>
          <w:sz w:val="24"/>
          <w:szCs w:val="24"/>
        </w:rPr>
        <w:t>5</w:t>
      </w:r>
      <w:r>
        <w:rPr>
          <w:bCs/>
          <w:sz w:val="24"/>
          <w:szCs w:val="24"/>
        </w:rPr>
        <w:fldChar w:fldCharType="end"/>
      </w:r>
      <w:r>
        <w:rPr>
          <w:rFonts w:hint="eastAsia"/>
          <w:b/>
          <w:bCs/>
          <w:sz w:val="24"/>
          <w:szCs w:val="24"/>
        </w:rPr>
        <w:t>：</w:t>
      </w:r>
      <w:r>
        <w:rPr>
          <w:rFonts w:hint="eastAsia"/>
          <w:b/>
          <w:sz w:val="24"/>
          <w:szCs w:val="24"/>
        </w:rPr>
        <w:t>数值型事实值的精确度举例</w:t>
      </w:r>
    </w:p>
    <w:tbl>
      <w:tblPr>
        <w:tblStyle w:val="5"/>
        <w:tblW w:w="8364"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611"/>
        <w:gridCol w:w="3320"/>
        <w:gridCol w:w="2433"/>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tblHeader/>
          <w:jc w:val="center"/>
        </w:trPr>
        <w:tc>
          <w:tcPr>
            <w:tcW w:w="2611" w:type="dxa"/>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数值</w:t>
            </w:r>
          </w:p>
        </w:tc>
        <w:tc>
          <w:tcPr>
            <w:tcW w:w="3320" w:type="dxa"/>
            <w:vAlign w:val="center"/>
          </w:tcPr>
          <w:p>
            <w:pPr>
              <w:spacing w:after="0" w:line="560" w:lineRule="exact"/>
              <w:jc w:val="center"/>
              <w:rPr>
                <w:rFonts w:ascii="Times New Roman" w:hAnsi="Times New Roman" w:eastAsia="仿宋_GB2312"/>
                <w:b/>
                <w:sz w:val="24"/>
                <w:szCs w:val="24"/>
              </w:rPr>
            </w:pPr>
            <w:r>
              <w:rPr>
                <w:rFonts w:ascii="Times New Roman" w:hAnsi="Times New Roman" w:eastAsia="仿宋_GB2312"/>
                <w:b/>
                <w:sz w:val="24"/>
                <w:szCs w:val="24"/>
              </w:rPr>
              <w:t>Decimals</w:t>
            </w:r>
            <w:r>
              <w:rPr>
                <w:rFonts w:hint="eastAsia" w:ascii="Times New Roman" w:hAnsi="Times New Roman" w:eastAsia="仿宋_GB2312"/>
                <w:b/>
                <w:sz w:val="24"/>
                <w:szCs w:val="24"/>
              </w:rPr>
              <w:t>取值</w:t>
            </w:r>
          </w:p>
        </w:tc>
        <w:tc>
          <w:tcPr>
            <w:tcW w:w="2433" w:type="dxa"/>
            <w:vAlign w:val="center"/>
          </w:tcPr>
          <w:p>
            <w:pPr>
              <w:spacing w:after="0" w:line="560" w:lineRule="exact"/>
              <w:jc w:val="center"/>
              <w:rPr>
                <w:rFonts w:ascii="Times New Roman" w:hAnsi="Times New Roman" w:eastAsia="仿宋_GB2312"/>
                <w:b/>
                <w:sz w:val="24"/>
                <w:szCs w:val="24"/>
              </w:rPr>
            </w:pPr>
            <w:r>
              <w:rPr>
                <w:rFonts w:hint="eastAsia" w:ascii="Times New Roman" w:hAnsi="Times New Roman" w:eastAsia="仿宋_GB2312"/>
                <w:b/>
                <w:sz w:val="24"/>
                <w:szCs w:val="24"/>
              </w:rPr>
              <w:t>示例</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11" w:type="dxa"/>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精确到千位</w:t>
            </w:r>
          </w:p>
        </w:tc>
        <w:tc>
          <w:tcPr>
            <w:tcW w:w="3320" w:type="dxa"/>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-3</w:t>
            </w:r>
          </w:p>
        </w:tc>
        <w:tc>
          <w:tcPr>
            <w:tcW w:w="2433" w:type="dxa"/>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12 000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11" w:type="dxa"/>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精确到百万位</w:t>
            </w:r>
          </w:p>
        </w:tc>
        <w:tc>
          <w:tcPr>
            <w:tcW w:w="3320" w:type="dxa"/>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-6</w:t>
            </w:r>
          </w:p>
        </w:tc>
        <w:tc>
          <w:tcPr>
            <w:tcW w:w="2433" w:type="dxa"/>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45 000 000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11" w:type="dxa"/>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精确到</w:t>
            </w:r>
            <w:r>
              <w:rPr>
                <w:rFonts w:ascii="Times New Roman" w:hAnsi="Times New Roman" w:eastAsia="仿宋_GB2312"/>
                <w:sz w:val="24"/>
                <w:szCs w:val="24"/>
              </w:rPr>
              <w:t>2</w:t>
            </w:r>
            <w:r>
              <w:rPr>
                <w:rFonts w:hint="eastAsia" w:ascii="Times New Roman" w:hAnsi="Times New Roman" w:eastAsia="仿宋_GB2312"/>
                <w:sz w:val="24"/>
                <w:szCs w:val="24"/>
              </w:rPr>
              <w:t>位小数</w:t>
            </w:r>
          </w:p>
        </w:tc>
        <w:tc>
          <w:tcPr>
            <w:tcW w:w="3320" w:type="dxa"/>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2</w:t>
            </w:r>
          </w:p>
        </w:tc>
        <w:tc>
          <w:tcPr>
            <w:tcW w:w="2433" w:type="dxa"/>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139 034.17</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611" w:type="dxa"/>
            <w:vAlign w:val="center"/>
          </w:tcPr>
          <w:p>
            <w:pPr>
              <w:spacing w:after="0" w:line="560" w:lineRule="exact"/>
              <w:jc w:val="both"/>
              <w:rPr>
                <w:rFonts w:ascii="Times New Roman" w:hAnsi="Times New Roman" w:eastAsia="仿宋_GB2312"/>
                <w:sz w:val="24"/>
                <w:szCs w:val="24"/>
              </w:rPr>
            </w:pPr>
            <w:r>
              <w:rPr>
                <w:rFonts w:hint="eastAsia" w:ascii="Times New Roman" w:hAnsi="Times New Roman" w:eastAsia="仿宋_GB2312"/>
                <w:sz w:val="24"/>
                <w:szCs w:val="24"/>
              </w:rPr>
              <w:t>精确数字</w:t>
            </w:r>
          </w:p>
        </w:tc>
        <w:tc>
          <w:tcPr>
            <w:tcW w:w="3320" w:type="dxa"/>
            <w:vAlign w:val="center"/>
          </w:tcPr>
          <w:p>
            <w:pPr>
              <w:spacing w:after="0" w:line="560" w:lineRule="exact"/>
              <w:jc w:val="both"/>
              <w:rPr>
                <w:rFonts w:ascii="Times New Roman" w:hAnsi="Times New Roman" w:eastAsia="仿宋_GB2312"/>
                <w:sz w:val="24"/>
                <w:szCs w:val="24"/>
              </w:rPr>
            </w:pPr>
            <w:r>
              <w:rPr>
                <w:rFonts w:ascii="Times New Roman" w:hAnsi="Times New Roman" w:eastAsia="仿宋_GB2312"/>
                <w:sz w:val="24"/>
                <w:szCs w:val="24"/>
              </w:rPr>
              <w:t>INF</w:t>
            </w:r>
          </w:p>
        </w:tc>
        <w:tc>
          <w:tcPr>
            <w:tcW w:w="2433" w:type="dxa"/>
            <w:vAlign w:val="center"/>
          </w:tcPr>
          <w:p>
            <w:pPr>
              <w:spacing w:after="0" w:line="560" w:lineRule="exact"/>
              <w:ind w:right="519" w:rightChars="236"/>
              <w:jc w:val="both"/>
              <w:rPr>
                <w:rFonts w:ascii="Times New Roman" w:hAnsi="Times New Roman" w:eastAsia="仿宋_GB2312"/>
                <w:sz w:val="24"/>
                <w:szCs w:val="24"/>
              </w:rPr>
            </w:pPr>
            <w:r>
              <w:rPr>
                <w:rFonts w:ascii="Times New Roman" w:hAnsi="Times New Roman" w:eastAsia="仿宋_GB2312"/>
                <w:sz w:val="24"/>
                <w:szCs w:val="24"/>
              </w:rPr>
              <w:t>1.2645</w:t>
            </w:r>
          </w:p>
        </w:tc>
      </w:tr>
    </w:tbl>
    <w:p>
      <w:pPr>
        <w:pStyle w:val="11"/>
        <w:numPr>
          <w:ilvl w:val="0"/>
          <w:numId w:val="4"/>
        </w:numPr>
        <w:wordWrap/>
        <w:spacing w:after="0" w:line="560" w:lineRule="exact"/>
        <w:ind w:firstLineChars="0"/>
        <w:rPr>
          <w:b/>
          <w:bCs/>
        </w:rPr>
      </w:pPr>
      <w:r>
        <w:rPr>
          <w:rFonts w:hint="eastAsia"/>
          <w:b/>
          <w:bCs/>
        </w:rPr>
        <w:t>实例文档命名规则</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实例文档的命名格式为</w:t>
      </w:r>
      <w:r>
        <w:rPr>
          <w:rFonts w:ascii="Times New Roman" w:hAnsi="Times New Roman" w:eastAsia="仿宋_GB2312"/>
          <w:sz w:val="28"/>
          <w:szCs w:val="28"/>
        </w:rPr>
        <w:t>{</w:t>
      </w:r>
      <w:r>
        <w:rPr>
          <w:rFonts w:hint="eastAsia" w:ascii="Times New Roman" w:hAnsi="Times New Roman" w:eastAsia="仿宋_GB2312"/>
          <w:sz w:val="28"/>
          <w:szCs w:val="28"/>
        </w:rPr>
        <w:t>票据类型简称</w:t>
      </w:r>
      <w:r>
        <w:rPr>
          <w:rFonts w:ascii="Times New Roman" w:hAnsi="Times New Roman" w:eastAsia="仿宋_GB2312"/>
          <w:sz w:val="28"/>
          <w:szCs w:val="28"/>
        </w:rPr>
        <w:t>}_{</w:t>
      </w:r>
      <w:r>
        <w:rPr>
          <w:rFonts w:hint="eastAsia" w:ascii="Times New Roman" w:hAnsi="Times New Roman" w:eastAsia="仿宋_GB2312"/>
          <w:sz w:val="28"/>
          <w:szCs w:val="28"/>
        </w:rPr>
        <w:t>主体</w:t>
      </w:r>
      <w:r>
        <w:rPr>
          <w:rFonts w:ascii="Times New Roman" w:hAnsi="Times New Roman" w:eastAsia="仿宋_GB2312"/>
          <w:sz w:val="28"/>
          <w:szCs w:val="28"/>
        </w:rPr>
        <w:t>}_</w:t>
      </w:r>
      <w:r>
        <w:rPr>
          <w:rFonts w:hint="eastAsia" w:ascii="Times New Roman" w:hAnsi="Times New Roman" w:eastAsia="仿宋_GB2312"/>
          <w:sz w:val="28"/>
          <w:szCs w:val="28"/>
        </w:rPr>
        <w:t>{日期}</w:t>
      </w:r>
      <w:r>
        <w:rPr>
          <w:rFonts w:ascii="Times New Roman" w:hAnsi="Times New Roman" w:eastAsia="仿宋_GB2312"/>
          <w:sz w:val="28"/>
          <w:szCs w:val="28"/>
        </w:rPr>
        <w:t>_{</w:t>
      </w:r>
      <w:r>
        <w:rPr>
          <w:rFonts w:hint="eastAsia" w:ascii="Times New Roman" w:hAnsi="Times New Roman" w:eastAsia="仿宋_GB2312"/>
          <w:sz w:val="28"/>
          <w:szCs w:val="28"/>
        </w:rPr>
        <w:t>票据唯一标识</w:t>
      </w:r>
      <w:r>
        <w:rPr>
          <w:rFonts w:ascii="Times New Roman" w:hAnsi="Times New Roman" w:eastAsia="仿宋_GB2312"/>
          <w:sz w:val="28"/>
          <w:szCs w:val="28"/>
        </w:rPr>
        <w:t>}.{文件后缀}。文件名称各组成部分之间以英文字符</w:t>
      </w:r>
      <w:r>
        <w:rPr>
          <w:rFonts w:hint="eastAsia" w:ascii="Times New Roman" w:hAnsi="Times New Roman" w:eastAsia="仿宋_GB2312"/>
          <w:sz w:val="28"/>
          <w:szCs w:val="28"/>
        </w:rPr>
        <w:t>下划线</w:t>
      </w:r>
      <w:r>
        <w:rPr>
          <w:rFonts w:ascii="Times New Roman" w:hAnsi="Times New Roman" w:eastAsia="仿宋_GB2312"/>
          <w:sz w:val="28"/>
          <w:szCs w:val="28"/>
        </w:rPr>
        <w:t>连接。其中，{</w:t>
      </w:r>
      <w:r>
        <w:rPr>
          <w:rFonts w:hint="eastAsia" w:ascii="Times New Roman" w:hAnsi="Times New Roman" w:eastAsia="仿宋_GB2312"/>
          <w:sz w:val="28"/>
          <w:szCs w:val="28"/>
        </w:rPr>
        <w:t>票据类型简称</w:t>
      </w:r>
      <w:r>
        <w:rPr>
          <w:rFonts w:ascii="Times New Roman" w:hAnsi="Times New Roman" w:eastAsia="仿宋_GB2312"/>
          <w:sz w:val="28"/>
          <w:szCs w:val="28"/>
        </w:rPr>
        <w:t>}</w:t>
      </w:r>
      <w:r>
        <w:rPr>
          <w:rFonts w:hint="eastAsia" w:ascii="Times New Roman" w:hAnsi="Times New Roman" w:eastAsia="仿宋_GB2312"/>
          <w:sz w:val="28"/>
          <w:szCs w:val="28"/>
        </w:rPr>
        <w:t>是</w:t>
      </w:r>
      <w:r>
        <w:rPr>
          <w:rFonts w:ascii="Times New Roman" w:hAnsi="Times New Roman" w:eastAsia="仿宋_GB2312"/>
          <w:sz w:val="28"/>
          <w:szCs w:val="28"/>
        </w:rPr>
        <w:t>bker</w:t>
      </w:r>
      <w:r>
        <w:rPr>
          <w:rFonts w:hint="eastAsia" w:ascii="Times New Roman" w:hAnsi="Times New Roman" w:eastAsia="仿宋_GB2312"/>
          <w:sz w:val="28"/>
          <w:szCs w:val="28"/>
        </w:rPr>
        <w:t>，即标识票据类型是银行电子回单；</w:t>
      </w:r>
      <w:r>
        <w:rPr>
          <w:rFonts w:ascii="Times New Roman" w:hAnsi="Times New Roman" w:eastAsia="仿宋_GB2312"/>
          <w:sz w:val="28"/>
          <w:szCs w:val="28"/>
        </w:rPr>
        <w:t>{</w:t>
      </w:r>
      <w:r>
        <w:rPr>
          <w:rFonts w:hint="eastAsia" w:ascii="Times New Roman" w:hAnsi="Times New Roman" w:eastAsia="仿宋_GB2312"/>
          <w:sz w:val="28"/>
          <w:szCs w:val="28"/>
        </w:rPr>
        <w:t>主体</w:t>
      </w:r>
      <w:r>
        <w:rPr>
          <w:rFonts w:ascii="Times New Roman" w:hAnsi="Times New Roman" w:eastAsia="仿宋_GB2312"/>
          <w:sz w:val="28"/>
          <w:szCs w:val="28"/>
        </w:rPr>
        <w:t>}</w:t>
      </w:r>
      <w:r>
        <w:rPr>
          <w:rFonts w:hint="eastAsia" w:ascii="Times New Roman" w:hAnsi="Times New Roman" w:eastAsia="仿宋_GB2312"/>
          <w:sz w:val="28"/>
          <w:szCs w:val="28"/>
        </w:rPr>
        <w:t>用于区分实例文档的主体是开具方或接收方；</w:t>
      </w:r>
      <w:r>
        <w:rPr>
          <w:rFonts w:ascii="Times New Roman" w:hAnsi="Times New Roman" w:eastAsia="仿宋_GB2312"/>
          <w:sz w:val="28"/>
          <w:szCs w:val="28"/>
        </w:rPr>
        <w:t>{日期}格式为yyyymmdd</w:t>
      </w:r>
      <w:r>
        <w:rPr>
          <w:rFonts w:hint="eastAsia" w:ascii="Times New Roman" w:hAnsi="Times New Roman" w:eastAsia="仿宋_GB2312"/>
          <w:sz w:val="28"/>
          <w:szCs w:val="28"/>
        </w:rPr>
        <w:t>，对于开具方是签发日期，对于接收方是记账日期；</w:t>
      </w:r>
      <w:r>
        <w:rPr>
          <w:rFonts w:ascii="Times New Roman" w:hAnsi="Times New Roman" w:eastAsia="仿宋_GB2312"/>
          <w:sz w:val="28"/>
          <w:szCs w:val="28"/>
        </w:rPr>
        <w:t>{</w:t>
      </w:r>
      <w:r>
        <w:rPr>
          <w:rFonts w:hint="eastAsia" w:ascii="Times New Roman" w:hAnsi="Times New Roman" w:eastAsia="仿宋_GB2312"/>
          <w:sz w:val="28"/>
          <w:szCs w:val="28"/>
        </w:rPr>
        <w:t>票据唯一标识}是银行电子回单的唯一标识码，即校验码；</w:t>
      </w:r>
      <w:r>
        <w:rPr>
          <w:rFonts w:ascii="Times New Roman" w:hAnsi="Times New Roman" w:eastAsia="仿宋_GB2312"/>
          <w:sz w:val="28"/>
          <w:szCs w:val="28"/>
        </w:rPr>
        <w:t>{文件后缀}是</w:t>
      </w:r>
      <w:r>
        <w:rPr>
          <w:rFonts w:hint="eastAsia" w:ascii="Times New Roman" w:hAnsi="Times New Roman" w:eastAsia="仿宋_GB2312"/>
          <w:sz w:val="28"/>
          <w:szCs w:val="28"/>
        </w:rPr>
        <w:t>实例文档</w:t>
      </w:r>
      <w:r>
        <w:rPr>
          <w:rFonts w:ascii="Times New Roman" w:hAnsi="Times New Roman" w:eastAsia="仿宋_GB2312"/>
          <w:sz w:val="28"/>
          <w:szCs w:val="28"/>
        </w:rPr>
        <w:t>的后缀，即xml。</w:t>
      </w:r>
    </w:p>
    <w:p>
      <w:pPr>
        <w:spacing w:after="0"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实例文档命名格式举例</w:t>
      </w:r>
      <w:r>
        <w:rPr>
          <w:rFonts w:hint="eastAsia" w:ascii="Times New Roman" w:hAnsi="Times New Roman" w:eastAsia="仿宋_GB2312"/>
          <w:sz w:val="28"/>
          <w:szCs w:val="28"/>
        </w:rPr>
        <w:t>如下：</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开具方实例文档名称：</w:t>
      </w:r>
      <w:r>
        <w:rPr>
          <w:rFonts w:ascii="Times New Roman" w:hAnsi="Times New Roman" w:eastAsia="仿宋_GB2312"/>
          <w:sz w:val="28"/>
          <w:szCs w:val="28"/>
        </w:rPr>
        <w:t>bker_issuer_yyyymmdd_</w:t>
      </w:r>
      <w:r>
        <w:rPr>
          <w:rFonts w:hint="eastAsia" w:ascii="Times New Roman" w:hAnsi="Times New Roman" w:eastAsia="仿宋_GB2312"/>
          <w:sz w:val="28"/>
          <w:szCs w:val="28"/>
        </w:rPr>
        <w:t>校验码.</w:t>
      </w:r>
      <w:r>
        <w:rPr>
          <w:rFonts w:ascii="Times New Roman" w:hAnsi="Times New Roman" w:eastAsia="仿宋_GB2312"/>
          <w:sz w:val="28"/>
          <w:szCs w:val="28"/>
        </w:rPr>
        <w:t>xml</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接收方实例文档名称：</w:t>
      </w:r>
      <w:r>
        <w:rPr>
          <w:rFonts w:ascii="Times New Roman" w:hAnsi="Times New Roman" w:eastAsia="仿宋_GB2312"/>
          <w:sz w:val="28"/>
          <w:szCs w:val="28"/>
        </w:rPr>
        <w:t>bker_</w:t>
      </w:r>
      <w:r>
        <w:rPr>
          <w:rFonts w:hint="eastAsia" w:ascii="Times New Roman" w:hAnsi="Times New Roman" w:eastAsia="仿宋_GB2312"/>
          <w:sz w:val="28"/>
          <w:szCs w:val="28"/>
        </w:rPr>
        <w:t>receiver</w:t>
      </w:r>
      <w:r>
        <w:rPr>
          <w:rFonts w:ascii="Times New Roman" w:hAnsi="Times New Roman" w:eastAsia="仿宋_GB2312"/>
          <w:sz w:val="28"/>
          <w:szCs w:val="28"/>
        </w:rPr>
        <w:t>_yyyymmdd_</w:t>
      </w:r>
      <w:r>
        <w:rPr>
          <w:rFonts w:hint="eastAsia" w:ascii="Times New Roman" w:hAnsi="Times New Roman" w:eastAsia="仿宋_GB2312"/>
          <w:sz w:val="28"/>
          <w:szCs w:val="28"/>
        </w:rPr>
        <w:t>校验码.</w:t>
      </w:r>
      <w:r>
        <w:rPr>
          <w:rFonts w:ascii="Times New Roman" w:hAnsi="Times New Roman" w:eastAsia="仿宋_GB2312"/>
          <w:sz w:val="28"/>
          <w:szCs w:val="28"/>
        </w:rPr>
        <w:t>xml</w:t>
      </w:r>
    </w:p>
    <w:p>
      <w:pPr>
        <w:spacing w:after="0" w:line="560" w:lineRule="exact"/>
        <w:ind w:firstLine="560" w:firstLineChars="200"/>
        <w:jc w:val="both"/>
        <w:rPr>
          <w:rFonts w:ascii="Times New Roman" w:hAnsi="Times New Roman" w:eastAsia="仿宋_GB2312"/>
          <w:sz w:val="28"/>
          <w:szCs w:val="28"/>
        </w:rPr>
      </w:pPr>
    </w:p>
    <w:p>
      <w:pPr>
        <w:spacing w:after="0" w:line="560" w:lineRule="exact"/>
        <w:ind w:firstLine="440" w:firstLineChars="200"/>
      </w:pPr>
    </w:p>
    <w:p>
      <w:pPr>
        <w:numPr>
          <w:ilvl w:val="0"/>
          <w:numId w:val="1"/>
        </w:numPr>
        <w:spacing w:after="0" w:line="560" w:lineRule="exact"/>
        <w:outlineLvl w:val="0"/>
        <w:rPr>
          <w:rFonts w:ascii="Times New Roman" w:hAnsi="Times New Roman" w:eastAsia="黑体" w:cs="Times New Roman"/>
          <w:sz w:val="28"/>
          <w:szCs w:val="28"/>
        </w:rPr>
      </w:pPr>
      <w:r>
        <w:rPr>
          <w:rFonts w:hint="eastAsia" w:ascii="Times New Roman" w:hAnsi="Times New Roman" w:eastAsia="黑体" w:cs="Times New Roman"/>
          <w:sz w:val="28"/>
          <w:szCs w:val="28"/>
        </w:rPr>
        <w:t>银行电子回单接收方</w:t>
      </w:r>
    </w:p>
    <w:p>
      <w:pPr>
        <w:pStyle w:val="10"/>
        <w:wordWrap/>
        <w:ind w:firstLine="560"/>
        <w:rPr>
          <w:rFonts w:ascii="Times New Roman" w:hAnsi="Times New Roman"/>
        </w:rPr>
      </w:pPr>
      <w:r>
        <w:rPr>
          <w:rFonts w:hint="eastAsia" w:ascii="Times New Roman" w:hAnsi="Times New Roman"/>
        </w:rPr>
        <w:t>（一</w:t>
      </w:r>
      <w:r>
        <w:rPr>
          <w:rFonts w:ascii="Times New Roman" w:hAnsi="Times New Roman"/>
        </w:rPr>
        <w:t>）</w:t>
      </w:r>
      <w:r>
        <w:rPr>
          <w:rFonts w:hint="eastAsia" w:ascii="Times New Roman" w:hAnsi="Times New Roman"/>
        </w:rPr>
        <w:t>获取并解析电子凭证银行回单，同步标记状态位</w:t>
      </w:r>
    </w:p>
    <w:p>
      <w:pPr>
        <w:pStyle w:val="14"/>
        <w:wordWrap/>
        <w:spacing w:after="0"/>
        <w:rPr>
          <w:rFonts w:cs="Times New Roman"/>
        </w:rPr>
      </w:pPr>
      <w:r>
        <w:rPr>
          <w:rFonts w:cs="Times New Roman"/>
        </w:rPr>
        <w:t>1</w:t>
      </w:r>
      <w:r>
        <w:rPr>
          <w:rFonts w:hint="eastAsia" w:cs="Times New Roman"/>
        </w:rPr>
        <w:t>．</w:t>
      </w:r>
      <w:bookmarkStart w:id="0" w:name="_Hlk87462432"/>
      <w:r>
        <w:rPr>
          <w:rFonts w:hint="eastAsia" w:cs="Times New Roman"/>
        </w:rPr>
        <w:t>获取电子凭证银行回单</w:t>
      </w:r>
      <w:bookmarkEnd w:id="0"/>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企业、单位用户可通过企业网银、第三方财务软件等官方线上渠道获取电子凭证银行回单。</w:t>
      </w:r>
    </w:p>
    <w:p>
      <w:pPr>
        <w:pStyle w:val="14"/>
        <w:wordWrap/>
        <w:spacing w:after="0"/>
        <w:rPr>
          <w:rFonts w:cs="Times New Roman"/>
        </w:rPr>
      </w:pPr>
      <w:r>
        <w:rPr>
          <w:rFonts w:hint="eastAsia"/>
          <w:szCs w:val="28"/>
        </w:rPr>
        <w:t>2</w:t>
      </w:r>
      <w:r>
        <w:rPr>
          <w:rFonts w:hint="eastAsia" w:cs="Times New Roman"/>
        </w:rPr>
        <w:t>．电子凭证银行回单验真</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企业、单位用户可使用主流的OFD阅读器打开获取的电子凭证银行回单文件，通过凭证上的印章即可查看回单验真结果和签章人信息。验签通过后，财务软件厂商才能解析XBRL实例文档并进行后续自动入账。</w:t>
      </w:r>
    </w:p>
    <w:p>
      <w:pPr>
        <w:pStyle w:val="14"/>
        <w:wordWrap/>
        <w:spacing w:after="0"/>
        <w:rPr>
          <w:rFonts w:cs="Times New Roman"/>
        </w:rPr>
      </w:pPr>
      <w:r>
        <w:rPr>
          <w:rFonts w:cs="Times New Roman"/>
        </w:rPr>
        <w:t>3</w:t>
      </w:r>
      <w:r>
        <w:rPr>
          <w:rFonts w:hint="eastAsia" w:cs="Times New Roman"/>
        </w:rPr>
        <w:t>．解析电子凭证银行回单并同步回单状态位信息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XBRL标准作为财政部指定的企业会计准则</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，主流财务软件厂商应均已具备解析和生成实例文档的能力。财务软件厂商可根据《银行电子回单</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的要求，使用XBRL工具包解析电子回单结构化数据并同步标记状态位（包括电子回单状态信息、会计主体信息和基础会计信息），自动生成标准化的电子回单业务（对象）数据，直接写入底层数据库或选择生成XBRL格式的实例文档。</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对应银行电子回单</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和实例文档的解析，可以参考“三、实例文档要素及解析方式说明”。此处需要注意实例文档的解码。</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获取的实例文档是*</w:t>
      </w:r>
      <w:r>
        <w:rPr>
          <w:rFonts w:ascii="Times New Roman" w:hAnsi="Times New Roman" w:eastAsia="仿宋_GB2312"/>
          <w:sz w:val="28"/>
          <w:szCs w:val="28"/>
        </w:rPr>
        <w:t>.</w:t>
      </w:r>
      <w:r>
        <w:rPr>
          <w:rFonts w:hint="eastAsia" w:ascii="Times New Roman" w:hAnsi="Times New Roman" w:eastAsia="仿宋_GB2312"/>
          <w:sz w:val="28"/>
          <w:szCs w:val="28"/>
        </w:rPr>
        <w:t>xml文件类型，内容是经过编码处理的，例如：</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autofit"/>
        <w:tblCellMar>
          <w:top w:w="0" w:type="dxa"/>
          <w:left w:w="108" w:type="dxa"/>
          <w:bottom w:w="0" w:type="dxa"/>
          <w:right w:w="108" w:type="dxa"/>
        </w:tblCellMar>
      </w:tblPr>
      <w:tblGrid>
        <w:gridCol w:w="98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c>
          <w:tcPr>
            <w:tcW w:w="9963" w:type="dxa"/>
            <w:shd w:val="clear" w:color="auto" w:fill="F1F1F1" w:themeFill="background1" w:themeFillShade="F2"/>
          </w:tcPr>
          <w:p>
            <w:pPr>
              <w:spacing w:line="360" w:lineRule="auto"/>
              <w:ind w:firstLine="480"/>
              <w:rPr>
                <w:rFonts w:ascii="Times New Roman" w:hAnsi="Times New Roman" w:eastAsia="仿宋_GB2312"/>
                <w:sz w:val="24"/>
                <w:szCs w:val="28"/>
              </w:rPr>
            </w:pPr>
            <w:r>
              <w:rPr>
                <w:rFonts w:ascii="Times New Roman" w:hAnsi="Times New Roman" w:eastAsia="仿宋_GB2312"/>
                <w:sz w:val="24"/>
                <w:szCs w:val="28"/>
              </w:rPr>
              <w:t>%3Cxbrli%3Axbrl+xmlns%3Axsi%3D%22http%3A%2F%2Fwww.w3.org%2F2001%2FXMLSchema-instance%22+xmlns%3</w:t>
            </w:r>
            <w:r>
              <w:rPr>
                <w:rFonts w:hint="eastAsia" w:ascii="Times New Roman" w:hAnsi="Times New Roman" w:eastAsia="仿宋_GB2312"/>
                <w:sz w:val="24"/>
                <w:szCs w:val="28"/>
              </w:rPr>
              <w:t>bker</w:t>
            </w:r>
            <w:r>
              <w:rPr>
                <w:rFonts w:ascii="Times New Roman" w:hAnsi="Times New Roman" w:eastAsia="仿宋_GB2312"/>
                <w:sz w:val="24"/>
                <w:szCs w:val="28"/>
              </w:rPr>
              <w:t>%3D%22http%3A%2F%2Fxbrl.mof.gov.cn%2Ftaxonomy%2F2022-08-18%2Fgacc%22+xmlns%3Axlink%3D%22http%3A%2F%2Fwww.w3.org%2F1999%2Fxlink%22</w:t>
            </w:r>
          </w:p>
          <w:p>
            <w:pPr>
              <w:spacing w:line="360" w:lineRule="auto"/>
              <w:ind w:firstLine="480"/>
              <w:rPr>
                <w:rFonts w:ascii="Times New Roman" w:hAnsi="Times New Roman" w:eastAsia="仿宋_GB2312"/>
                <w:sz w:val="24"/>
                <w:szCs w:val="28"/>
              </w:rPr>
            </w:pPr>
            <w:r>
              <w:rPr>
                <w:rFonts w:hint="eastAsia" w:ascii="Times New Roman" w:hAnsi="Times New Roman" w:eastAsia="仿宋_GB2312"/>
                <w:sz w:val="24"/>
                <w:szCs w:val="28"/>
              </w:rPr>
              <w:t>.</w:t>
            </w:r>
            <w:r>
              <w:rPr>
                <w:rFonts w:ascii="Times New Roman" w:hAnsi="Times New Roman" w:eastAsia="仿宋_GB2312"/>
                <w:sz w:val="24"/>
                <w:szCs w:val="28"/>
              </w:rPr>
              <w:t>...........</w:t>
            </w:r>
          </w:p>
        </w:tc>
      </w:tr>
    </w:tbl>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在导入实例文档之前，需要对文件内容进行解码操作，这里采用的是URL解码方式，数据格式是UTF-</w:t>
      </w:r>
      <w:r>
        <w:rPr>
          <w:rFonts w:ascii="Times New Roman" w:hAnsi="Times New Roman" w:eastAsia="仿宋_GB2312"/>
          <w:sz w:val="28"/>
          <w:szCs w:val="28"/>
        </w:rPr>
        <w:t>8</w:t>
      </w:r>
      <w:r>
        <w:rPr>
          <w:rFonts w:hint="eastAsia" w:ascii="Times New Roman" w:hAnsi="Times New Roman" w:eastAsia="仿宋_GB2312"/>
          <w:sz w:val="28"/>
          <w:szCs w:val="28"/>
        </w:rPr>
        <w:t>。</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以最常用的开发语言JAVA为例，如需对下载实例文档的内容（cipherText）进行解码，并生成对应的明文信息（clearText），可以调用以下代码：</w:t>
      </w:r>
    </w:p>
    <w:p>
      <w:pPr>
        <w:spacing w:after="0" w:line="360" w:lineRule="auto"/>
        <w:rPr>
          <w:rFonts w:ascii="Times New Roman" w:hAnsi="Times New Roman" w:eastAsia="仿宋_GB2312"/>
          <w:sz w:val="28"/>
          <w:szCs w:val="28"/>
        </w:rPr>
      </w:pPr>
      <w:r>
        <w:rPr>
          <w:rFonts w:ascii="Times New Roman" w:hAnsi="Times New Roman" w:eastAsia="仿宋_GB2312"/>
          <w:sz w:val="28"/>
          <w:szCs w:val="28"/>
        </w:rPr>
        <w:t>clearText = java.net.URLDecoder.decode(cipherText, "UTF-8");</w:t>
      </w:r>
    </w:p>
    <w:p>
      <w:pPr>
        <w:spacing w:after="0" w:line="360" w:lineRule="auto"/>
        <w:rPr>
          <w:rFonts w:ascii="Times New Roman" w:hAnsi="Times New Roman" w:eastAsia="仿宋_GB2312"/>
          <w:sz w:val="28"/>
          <w:szCs w:val="28"/>
        </w:rPr>
      </w:pPr>
      <w:r>
        <w:rPr>
          <w:rFonts w:hint="eastAsia" w:ascii="Times New Roman" w:hAnsi="Times New Roman" w:eastAsia="仿宋_GB2312"/>
          <w:sz w:val="28"/>
          <w:szCs w:val="28"/>
        </w:rPr>
        <w:t>解码后的明文信息clearText如下：</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autofit"/>
        <w:tblCellMar>
          <w:top w:w="0" w:type="dxa"/>
          <w:left w:w="108" w:type="dxa"/>
          <w:bottom w:w="0" w:type="dxa"/>
          <w:right w:w="108" w:type="dxa"/>
        </w:tblCellMar>
      </w:tblPr>
      <w:tblGrid>
        <w:gridCol w:w="98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c>
          <w:tcPr>
            <w:tcW w:w="9963" w:type="dxa"/>
            <w:shd w:val="clear" w:color="auto" w:fill="F1F1F1" w:themeFill="background1" w:themeFillShade="F2"/>
          </w:tcPr>
          <w:p>
            <w:pPr>
              <w:spacing w:line="360" w:lineRule="auto"/>
              <w:ind w:firstLine="480"/>
              <w:rPr>
                <w:rFonts w:ascii="Times New Roman" w:hAnsi="Times New Roman" w:eastAsia="仿宋_GB2312"/>
                <w:sz w:val="24"/>
                <w:szCs w:val="24"/>
              </w:rPr>
            </w:pPr>
            <w:r>
              <w:rPr>
                <w:rFonts w:ascii="Times New Roman" w:hAnsi="Times New Roman" w:eastAsia="仿宋_GB2312"/>
                <w:sz w:val="24"/>
                <w:szCs w:val="24"/>
              </w:rPr>
              <w:t>&lt;xbrli:xbrl xmlns:xsi="http://www.w3.org/2001/XMLSchema-instance" xmlns:bker="http://xbrl.mof.gov.cn/taxonomy/2022-08-18/bker xmlns:xlink="http://www.w3.org/1999/xlink"</w:t>
            </w:r>
          </w:p>
          <w:p>
            <w:pPr>
              <w:spacing w:line="360" w:lineRule="auto"/>
              <w:ind w:firstLine="480"/>
              <w:rPr>
                <w:rFonts w:ascii="Times New Roman" w:hAnsi="Times New Roman" w:eastAsia="仿宋_GB2312"/>
                <w:sz w:val="24"/>
                <w:szCs w:val="24"/>
              </w:rPr>
            </w:pPr>
            <w:r>
              <w:rPr>
                <w:rFonts w:hint="eastAsia" w:ascii="Times New Roman" w:hAnsi="Times New Roman" w:eastAsia="仿宋_GB2312"/>
                <w:sz w:val="24"/>
                <w:szCs w:val="24"/>
              </w:rPr>
              <w:t>.</w:t>
            </w:r>
            <w:r>
              <w:rPr>
                <w:rFonts w:ascii="Times New Roman" w:hAnsi="Times New Roman" w:eastAsia="仿宋_GB2312"/>
                <w:sz w:val="24"/>
                <w:szCs w:val="24"/>
              </w:rPr>
              <w:t>...........</w:t>
            </w:r>
          </w:p>
        </w:tc>
      </w:tr>
    </w:tbl>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其他开发语言也有对应的URL解码方法。财务软件厂商可根据自身软件的开发语言及应用架构做好相应的解码处理。</w:t>
      </w:r>
    </w:p>
    <w:p>
      <w:pPr>
        <w:pStyle w:val="10"/>
        <w:wordWrap/>
        <w:ind w:firstLine="560"/>
        <w:rPr>
          <w:rFonts w:ascii="Times New Roman" w:hAnsi="Times New Roman"/>
        </w:rPr>
      </w:pPr>
      <w:r>
        <w:rPr>
          <w:rFonts w:hint="eastAsia" w:ascii="Times New Roman" w:hAnsi="Times New Roman"/>
        </w:rPr>
        <w:t>（二）自动入账并回写信息</w:t>
      </w:r>
    </w:p>
    <w:p>
      <w:pPr>
        <w:pStyle w:val="14"/>
        <w:ind w:left="440" w:firstLine="0" w:firstLineChars="0"/>
      </w:pPr>
      <w:r>
        <w:rPr>
          <w:rFonts w:hint="eastAsia"/>
        </w:rPr>
        <w:t>1、《银行电子回单</w:t>
      </w:r>
      <w:r>
        <w:rPr>
          <w:rFonts w:hint="eastAsia"/>
          <w:lang w:eastAsia="zh-CN"/>
        </w:rPr>
        <w:t>标准</w:t>
      </w:r>
      <w:r>
        <w:rPr>
          <w:rFonts w:hint="eastAsia"/>
        </w:rPr>
        <w:t>》接收方内容架构</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表6列示了</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标记的接收方字段。</w:t>
      </w:r>
    </w:p>
    <w:p>
      <w:pPr>
        <w:pStyle w:val="11"/>
        <w:wordWrap/>
        <w:spacing w:after="0" w:line="560" w:lineRule="exact"/>
        <w:ind w:firstLine="0" w:firstLineChars="0"/>
        <w:jc w:val="center"/>
        <w:rPr>
          <w:b/>
          <w:bCs/>
          <w:sz w:val="24"/>
          <w:szCs w:val="24"/>
        </w:rPr>
      </w:pPr>
      <w:r>
        <w:rPr>
          <w:rFonts w:hint="eastAsia"/>
          <w:b/>
          <w:bCs/>
          <w:sz w:val="24"/>
          <w:szCs w:val="24"/>
        </w:rPr>
        <w:t xml:space="preserve">表 </w:t>
      </w:r>
      <w:r>
        <w:rPr>
          <w:bCs/>
          <w:sz w:val="24"/>
          <w:szCs w:val="24"/>
        </w:rPr>
        <w:fldChar w:fldCharType="begin"/>
      </w:r>
      <w:r>
        <w:rPr>
          <w:bCs/>
          <w:sz w:val="24"/>
          <w:szCs w:val="24"/>
        </w:rPr>
        <w:instrText xml:space="preserve"> </w:instrText>
      </w:r>
      <w:r>
        <w:rPr>
          <w:rFonts w:hint="eastAsia"/>
          <w:bCs/>
          <w:sz w:val="24"/>
          <w:szCs w:val="24"/>
        </w:rPr>
        <w:instrText xml:space="preserve">SEQ 表 \* ARABIC</w:instrText>
      </w:r>
      <w:r>
        <w:rPr>
          <w:bCs/>
          <w:sz w:val="24"/>
          <w:szCs w:val="24"/>
        </w:rPr>
        <w:instrText xml:space="preserve"> </w:instrText>
      </w:r>
      <w:r>
        <w:rPr>
          <w:bCs/>
          <w:sz w:val="24"/>
          <w:szCs w:val="24"/>
        </w:rPr>
        <w:fldChar w:fldCharType="separate"/>
      </w:r>
      <w:r>
        <w:rPr>
          <w:bCs/>
          <w:sz w:val="24"/>
          <w:szCs w:val="24"/>
        </w:rPr>
        <w:t>6</w:t>
      </w:r>
      <w:r>
        <w:rPr>
          <w:bCs/>
          <w:sz w:val="24"/>
          <w:szCs w:val="24"/>
        </w:rPr>
        <w:fldChar w:fldCharType="end"/>
      </w:r>
      <w:r>
        <w:rPr>
          <w:rFonts w:hint="eastAsia"/>
          <w:b/>
          <w:bCs/>
          <w:sz w:val="24"/>
          <w:szCs w:val="24"/>
        </w:rPr>
        <w:t>：《银行电子回单</w:t>
      </w:r>
      <w:r>
        <w:rPr>
          <w:rFonts w:hint="eastAsia"/>
          <w:b/>
          <w:bCs/>
          <w:sz w:val="24"/>
          <w:szCs w:val="24"/>
          <w:lang w:eastAsia="zh-CN"/>
        </w:rPr>
        <w:t>标准</w:t>
      </w:r>
      <w:r>
        <w:rPr>
          <w:rFonts w:hint="eastAsia"/>
          <w:b/>
          <w:bCs/>
          <w:sz w:val="24"/>
          <w:szCs w:val="24"/>
        </w:rPr>
        <w:t>》（接收方）标记内容</w:t>
      </w:r>
    </w:p>
    <w:tbl>
      <w:tblPr>
        <w:tblStyle w:val="5"/>
        <w:tblW w:w="8572"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700"/>
        <w:gridCol w:w="1258"/>
        <w:gridCol w:w="1959"/>
        <w:gridCol w:w="1253"/>
        <w:gridCol w:w="3402"/>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36" w:hRule="atLeast"/>
          <w:tblHeader/>
          <w:jc w:val="center"/>
        </w:trPr>
        <w:tc>
          <w:tcPr>
            <w:tcW w:w="700" w:type="dxa"/>
            <w:shd w:val="clear" w:color="auto" w:fill="auto"/>
            <w:noWrap/>
            <w:vAlign w:val="center"/>
          </w:tcPr>
          <w:p>
            <w:pPr>
              <w:pStyle w:val="11"/>
              <w:spacing w:after="0"/>
              <w:ind w:firstLine="0" w:firstLineChars="0"/>
              <w:jc w:val="center"/>
              <w:rPr>
                <w:b/>
                <w:bCs/>
                <w:sz w:val="24"/>
                <w:szCs w:val="28"/>
              </w:rPr>
            </w:pPr>
            <w:r>
              <w:rPr>
                <w:rFonts w:hint="eastAsia"/>
                <w:b/>
                <w:bCs/>
                <w:sz w:val="24"/>
                <w:szCs w:val="28"/>
              </w:rPr>
              <w:t>序号</w:t>
            </w:r>
          </w:p>
        </w:tc>
        <w:tc>
          <w:tcPr>
            <w:tcW w:w="1258" w:type="dxa"/>
            <w:shd w:val="clear" w:color="auto" w:fill="auto"/>
            <w:noWrap/>
            <w:vAlign w:val="center"/>
          </w:tcPr>
          <w:p>
            <w:pPr>
              <w:pStyle w:val="11"/>
              <w:spacing w:after="0"/>
              <w:ind w:firstLine="0" w:firstLineChars="0"/>
              <w:jc w:val="center"/>
              <w:rPr>
                <w:b/>
                <w:bCs/>
                <w:sz w:val="24"/>
                <w:szCs w:val="28"/>
              </w:rPr>
            </w:pPr>
            <w:r>
              <w:rPr>
                <w:rFonts w:hint="eastAsia"/>
                <w:b/>
                <w:bCs/>
                <w:sz w:val="24"/>
                <w:szCs w:val="28"/>
              </w:rPr>
              <w:t>分组名称</w:t>
            </w:r>
          </w:p>
        </w:tc>
        <w:tc>
          <w:tcPr>
            <w:tcW w:w="1959" w:type="dxa"/>
            <w:shd w:val="clear" w:color="auto" w:fill="auto"/>
            <w:noWrap/>
            <w:vAlign w:val="center"/>
          </w:tcPr>
          <w:p>
            <w:pPr>
              <w:pStyle w:val="11"/>
              <w:spacing w:after="0"/>
              <w:ind w:firstLine="0" w:firstLineChars="0"/>
              <w:jc w:val="center"/>
              <w:rPr>
                <w:b/>
                <w:bCs/>
                <w:sz w:val="24"/>
                <w:szCs w:val="28"/>
              </w:rPr>
            </w:pPr>
            <w:r>
              <w:rPr>
                <w:rFonts w:hint="eastAsia"/>
                <w:b/>
                <w:bCs/>
                <w:sz w:val="24"/>
                <w:szCs w:val="28"/>
              </w:rPr>
              <w:t>字段名称</w:t>
            </w:r>
          </w:p>
        </w:tc>
        <w:tc>
          <w:tcPr>
            <w:tcW w:w="1253" w:type="dxa"/>
            <w:shd w:val="clear" w:color="auto" w:fill="auto"/>
            <w:noWrap/>
            <w:vAlign w:val="center"/>
          </w:tcPr>
          <w:p>
            <w:pPr>
              <w:pStyle w:val="11"/>
              <w:spacing w:after="0"/>
              <w:ind w:firstLine="0" w:firstLineChars="0"/>
              <w:jc w:val="center"/>
              <w:rPr>
                <w:b/>
                <w:bCs/>
                <w:sz w:val="24"/>
                <w:szCs w:val="28"/>
              </w:rPr>
            </w:pPr>
            <w:r>
              <w:rPr>
                <w:rFonts w:hint="eastAsia"/>
                <w:b/>
                <w:bCs/>
                <w:sz w:val="24"/>
                <w:szCs w:val="28"/>
              </w:rPr>
              <w:t>数值类型</w:t>
            </w:r>
          </w:p>
        </w:tc>
        <w:tc>
          <w:tcPr>
            <w:tcW w:w="3402" w:type="dxa"/>
            <w:shd w:val="clear" w:color="auto" w:fill="auto"/>
            <w:noWrap/>
            <w:vAlign w:val="center"/>
          </w:tcPr>
          <w:p>
            <w:pPr>
              <w:pStyle w:val="11"/>
              <w:spacing w:after="0"/>
              <w:ind w:firstLine="0" w:firstLineChars="0"/>
              <w:jc w:val="center"/>
              <w:rPr>
                <w:b/>
                <w:bCs/>
                <w:sz w:val="24"/>
                <w:szCs w:val="28"/>
              </w:rPr>
            </w:pPr>
            <w:r>
              <w:rPr>
                <w:rFonts w:hint="eastAsia"/>
                <w:b/>
                <w:bCs/>
                <w:sz w:val="24"/>
                <w:szCs w:val="28"/>
              </w:rPr>
              <w:t>说明</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0"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1</w:t>
            </w:r>
          </w:p>
        </w:tc>
        <w:tc>
          <w:tcPr>
            <w:tcW w:w="1258" w:type="dxa"/>
            <w:vMerge w:val="restart"/>
            <w:shd w:val="clear" w:color="auto" w:fill="auto"/>
            <w:noWrap/>
            <w:vAlign w:val="center"/>
          </w:tcPr>
          <w:p>
            <w:pPr>
              <w:pStyle w:val="11"/>
              <w:spacing w:after="0" w:line="240" w:lineRule="auto"/>
              <w:ind w:firstLine="0" w:firstLineChars="0"/>
              <w:jc w:val="center"/>
              <w:rPr>
                <w:bCs/>
                <w:sz w:val="24"/>
                <w:szCs w:val="24"/>
              </w:rPr>
            </w:pPr>
            <w:r>
              <w:rPr>
                <w:rFonts w:hint="eastAsia"/>
                <w:bCs/>
                <w:sz w:val="24"/>
                <w:szCs w:val="24"/>
              </w:rPr>
              <w:t>回单状态</w:t>
            </w:r>
          </w:p>
        </w:tc>
        <w:tc>
          <w:tcPr>
            <w:tcW w:w="1959"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校验码</w:t>
            </w:r>
          </w:p>
        </w:tc>
        <w:tc>
          <w:tcPr>
            <w:tcW w:w="1253"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字符型</w:t>
            </w:r>
          </w:p>
        </w:tc>
        <w:tc>
          <w:tcPr>
            <w:tcW w:w="3402" w:type="dxa"/>
            <w:shd w:val="clear" w:color="auto" w:fill="auto"/>
            <w:noWrap/>
            <w:vAlign w:val="center"/>
          </w:tcPr>
          <w:p>
            <w:pPr>
              <w:pStyle w:val="11"/>
              <w:wordWrap/>
              <w:spacing w:after="0" w:line="240" w:lineRule="auto"/>
              <w:ind w:firstLine="0" w:firstLineChars="0"/>
              <w:rPr>
                <w:bCs/>
                <w:sz w:val="24"/>
                <w:szCs w:val="24"/>
              </w:rPr>
            </w:pPr>
            <w:r>
              <w:rPr>
                <w:rFonts w:hint="eastAsia"/>
                <w:bCs/>
                <w:sz w:val="24"/>
                <w:szCs w:val="24"/>
              </w:rPr>
              <w:t>必填项，记录银行电子回单的唯一标识，即由银行电子回单签发机构、回单编号和校验位共同构成</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0"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2</w:t>
            </w:r>
          </w:p>
        </w:tc>
        <w:tc>
          <w:tcPr>
            <w:tcW w:w="1258" w:type="dxa"/>
            <w:vMerge w:val="continue"/>
            <w:shd w:val="clear" w:color="auto" w:fill="auto"/>
            <w:noWrap/>
            <w:vAlign w:val="center"/>
          </w:tcPr>
          <w:p>
            <w:pPr>
              <w:pStyle w:val="11"/>
              <w:wordWrap/>
              <w:spacing w:after="0" w:line="240" w:lineRule="auto"/>
              <w:ind w:firstLine="0" w:firstLineChars="0"/>
              <w:jc w:val="center"/>
              <w:rPr>
                <w:bCs/>
                <w:sz w:val="24"/>
                <w:szCs w:val="24"/>
              </w:rPr>
            </w:pPr>
          </w:p>
        </w:tc>
        <w:tc>
          <w:tcPr>
            <w:tcW w:w="1959"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币种</w:t>
            </w:r>
          </w:p>
        </w:tc>
        <w:tc>
          <w:tcPr>
            <w:tcW w:w="1253"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字符型</w:t>
            </w:r>
          </w:p>
        </w:tc>
        <w:tc>
          <w:tcPr>
            <w:tcW w:w="3402" w:type="dxa"/>
            <w:shd w:val="clear" w:color="auto" w:fill="auto"/>
            <w:noWrap/>
            <w:vAlign w:val="center"/>
          </w:tcPr>
          <w:p>
            <w:pPr>
              <w:pStyle w:val="11"/>
              <w:wordWrap/>
              <w:spacing w:after="0" w:line="240" w:lineRule="auto"/>
              <w:ind w:firstLine="0" w:firstLineChars="0"/>
              <w:rPr>
                <w:bCs/>
                <w:sz w:val="24"/>
                <w:szCs w:val="24"/>
              </w:rPr>
            </w:pPr>
            <w:r>
              <w:rPr>
                <w:rFonts w:hint="eastAsia"/>
                <w:bCs/>
                <w:sz w:val="24"/>
                <w:szCs w:val="24"/>
              </w:rPr>
              <w:t>必填项，记录电子回单信息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0"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3</w:t>
            </w:r>
          </w:p>
        </w:tc>
        <w:tc>
          <w:tcPr>
            <w:tcW w:w="1258" w:type="dxa"/>
            <w:vMerge w:val="continue"/>
            <w:shd w:val="clear" w:color="auto" w:fill="auto"/>
            <w:noWrap/>
            <w:vAlign w:val="center"/>
          </w:tcPr>
          <w:p>
            <w:pPr>
              <w:pStyle w:val="11"/>
              <w:wordWrap/>
              <w:spacing w:after="0" w:line="240" w:lineRule="auto"/>
              <w:ind w:firstLine="0" w:firstLineChars="0"/>
              <w:jc w:val="center"/>
              <w:rPr>
                <w:bCs/>
                <w:sz w:val="24"/>
                <w:szCs w:val="24"/>
              </w:rPr>
            </w:pPr>
          </w:p>
        </w:tc>
        <w:tc>
          <w:tcPr>
            <w:tcW w:w="1959"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小写金额</w:t>
            </w:r>
          </w:p>
        </w:tc>
        <w:tc>
          <w:tcPr>
            <w:tcW w:w="1253"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货币型</w:t>
            </w:r>
          </w:p>
        </w:tc>
        <w:tc>
          <w:tcPr>
            <w:tcW w:w="3402" w:type="dxa"/>
            <w:shd w:val="clear" w:color="auto" w:fill="auto"/>
            <w:noWrap/>
            <w:vAlign w:val="center"/>
          </w:tcPr>
          <w:p>
            <w:pPr>
              <w:pStyle w:val="11"/>
              <w:wordWrap/>
              <w:spacing w:after="0" w:line="240" w:lineRule="auto"/>
              <w:ind w:firstLine="0" w:firstLineChars="0"/>
              <w:rPr>
                <w:bCs/>
                <w:sz w:val="24"/>
                <w:szCs w:val="24"/>
              </w:rPr>
            </w:pPr>
            <w:r>
              <w:rPr>
                <w:rFonts w:hint="eastAsia"/>
                <w:bCs/>
                <w:sz w:val="24"/>
                <w:szCs w:val="24"/>
              </w:rPr>
              <w:t>必填项，记录电子回单信息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0"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4</w:t>
            </w:r>
          </w:p>
        </w:tc>
        <w:tc>
          <w:tcPr>
            <w:tcW w:w="1258" w:type="dxa"/>
            <w:vMerge w:val="continue"/>
            <w:shd w:val="clear" w:color="auto" w:fill="auto"/>
            <w:noWrap/>
            <w:vAlign w:val="center"/>
          </w:tcPr>
          <w:p>
            <w:pPr>
              <w:pStyle w:val="11"/>
              <w:wordWrap/>
              <w:spacing w:after="0" w:line="240" w:lineRule="auto"/>
              <w:ind w:firstLine="0" w:firstLineChars="0"/>
              <w:jc w:val="center"/>
              <w:rPr>
                <w:bCs/>
                <w:sz w:val="24"/>
                <w:szCs w:val="24"/>
              </w:rPr>
            </w:pPr>
          </w:p>
        </w:tc>
        <w:tc>
          <w:tcPr>
            <w:tcW w:w="1959"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合同编号</w:t>
            </w:r>
          </w:p>
        </w:tc>
        <w:tc>
          <w:tcPr>
            <w:tcW w:w="1253"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字符型</w:t>
            </w:r>
          </w:p>
        </w:tc>
        <w:tc>
          <w:tcPr>
            <w:tcW w:w="3402" w:type="dxa"/>
            <w:shd w:val="clear" w:color="auto" w:fill="auto"/>
            <w:noWrap/>
            <w:vAlign w:val="center"/>
          </w:tcPr>
          <w:p>
            <w:pPr>
              <w:pStyle w:val="11"/>
              <w:wordWrap/>
              <w:spacing w:after="0" w:line="240" w:lineRule="auto"/>
              <w:ind w:firstLine="0" w:firstLineChars="0"/>
              <w:rPr>
                <w:bCs/>
                <w:sz w:val="24"/>
                <w:szCs w:val="24"/>
              </w:rPr>
            </w:pPr>
            <w:r>
              <w:rPr>
                <w:rFonts w:hint="eastAsia"/>
                <w:bCs/>
                <w:sz w:val="24"/>
                <w:szCs w:val="24"/>
              </w:rPr>
              <w:t>选填项，记录收付款事项关联的合同编号，企业可根据具体业务场景选择回写</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0"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5</w:t>
            </w:r>
          </w:p>
        </w:tc>
        <w:tc>
          <w:tcPr>
            <w:tcW w:w="1258" w:type="dxa"/>
            <w:vMerge w:val="continue"/>
            <w:vAlign w:val="center"/>
          </w:tcPr>
          <w:p>
            <w:pPr>
              <w:pStyle w:val="11"/>
              <w:wordWrap/>
              <w:spacing w:after="0" w:line="240" w:lineRule="auto"/>
              <w:ind w:firstLine="0" w:firstLineChars="0"/>
              <w:jc w:val="center"/>
              <w:rPr>
                <w:bCs/>
                <w:sz w:val="24"/>
                <w:szCs w:val="24"/>
              </w:rPr>
            </w:pPr>
          </w:p>
        </w:tc>
        <w:tc>
          <w:tcPr>
            <w:tcW w:w="1959"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应收/付款项金额</w:t>
            </w:r>
          </w:p>
        </w:tc>
        <w:tc>
          <w:tcPr>
            <w:tcW w:w="1253"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货币型</w:t>
            </w:r>
          </w:p>
        </w:tc>
        <w:tc>
          <w:tcPr>
            <w:tcW w:w="3402" w:type="dxa"/>
            <w:shd w:val="clear" w:color="auto" w:fill="auto"/>
            <w:noWrap/>
          </w:tcPr>
          <w:p>
            <w:pPr>
              <w:pStyle w:val="11"/>
              <w:wordWrap/>
              <w:spacing w:after="0" w:line="240" w:lineRule="auto"/>
              <w:ind w:firstLine="0" w:firstLineChars="0"/>
              <w:rPr>
                <w:bCs/>
                <w:sz w:val="24"/>
                <w:szCs w:val="24"/>
              </w:rPr>
            </w:pPr>
            <w:r>
              <w:rPr>
                <w:rFonts w:hint="eastAsia"/>
                <w:bCs/>
                <w:sz w:val="24"/>
                <w:szCs w:val="24"/>
              </w:rPr>
              <w:t>选填项，记录收付款事项关联的应收或应付挂账金额，企业可根据具体业务场景选择回写</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0"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6</w:t>
            </w:r>
          </w:p>
        </w:tc>
        <w:tc>
          <w:tcPr>
            <w:tcW w:w="1258" w:type="dxa"/>
            <w:vMerge w:val="continue"/>
            <w:vAlign w:val="center"/>
          </w:tcPr>
          <w:p>
            <w:pPr>
              <w:pStyle w:val="11"/>
              <w:wordWrap/>
              <w:spacing w:after="0" w:line="240" w:lineRule="auto"/>
              <w:ind w:firstLine="0" w:firstLineChars="0"/>
              <w:jc w:val="center"/>
              <w:rPr>
                <w:bCs/>
                <w:sz w:val="24"/>
                <w:szCs w:val="24"/>
              </w:rPr>
            </w:pPr>
          </w:p>
        </w:tc>
        <w:tc>
          <w:tcPr>
            <w:tcW w:w="1959"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是否已认领</w:t>
            </w:r>
          </w:p>
        </w:tc>
        <w:tc>
          <w:tcPr>
            <w:tcW w:w="1253"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布尔型</w:t>
            </w:r>
          </w:p>
        </w:tc>
        <w:tc>
          <w:tcPr>
            <w:tcW w:w="3402" w:type="dxa"/>
            <w:shd w:val="clear" w:color="auto" w:fill="auto"/>
            <w:noWrap/>
          </w:tcPr>
          <w:p>
            <w:pPr>
              <w:pStyle w:val="11"/>
              <w:wordWrap/>
              <w:spacing w:after="0" w:line="240" w:lineRule="auto"/>
              <w:ind w:firstLine="0" w:firstLineChars="0"/>
              <w:rPr>
                <w:bCs/>
                <w:sz w:val="24"/>
                <w:szCs w:val="24"/>
              </w:rPr>
            </w:pPr>
            <w:r>
              <w:rPr>
                <w:rFonts w:hint="eastAsia"/>
                <w:bCs/>
                <w:sz w:val="24"/>
                <w:szCs w:val="24"/>
              </w:rPr>
              <w:t>选填项，记录收付款事项被企业认领的状态，企业可根据具体业务场景选择回写</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0"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7</w:t>
            </w:r>
          </w:p>
        </w:tc>
        <w:tc>
          <w:tcPr>
            <w:tcW w:w="1258" w:type="dxa"/>
            <w:vMerge w:val="continue"/>
            <w:vAlign w:val="center"/>
          </w:tcPr>
          <w:p>
            <w:pPr>
              <w:pStyle w:val="11"/>
              <w:wordWrap/>
              <w:spacing w:after="0" w:line="240" w:lineRule="auto"/>
              <w:ind w:firstLine="0" w:firstLineChars="0"/>
              <w:jc w:val="center"/>
              <w:rPr>
                <w:bCs/>
                <w:sz w:val="24"/>
                <w:szCs w:val="24"/>
              </w:rPr>
            </w:pPr>
          </w:p>
        </w:tc>
        <w:tc>
          <w:tcPr>
            <w:tcW w:w="1959"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是否已入账</w:t>
            </w:r>
          </w:p>
        </w:tc>
        <w:tc>
          <w:tcPr>
            <w:tcW w:w="1253"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布尔型</w:t>
            </w:r>
          </w:p>
        </w:tc>
        <w:tc>
          <w:tcPr>
            <w:tcW w:w="3402" w:type="dxa"/>
            <w:shd w:val="clear" w:color="auto" w:fill="auto"/>
            <w:noWrap/>
          </w:tcPr>
          <w:p>
            <w:pPr>
              <w:pStyle w:val="11"/>
              <w:wordWrap/>
              <w:spacing w:after="0" w:line="240" w:lineRule="auto"/>
              <w:ind w:firstLine="0" w:firstLineChars="0"/>
              <w:rPr>
                <w:bCs/>
                <w:sz w:val="24"/>
                <w:szCs w:val="24"/>
              </w:rPr>
            </w:pPr>
            <w:r>
              <w:rPr>
                <w:rFonts w:hint="eastAsia"/>
                <w:bCs/>
                <w:sz w:val="24"/>
                <w:szCs w:val="24"/>
              </w:rPr>
              <w:t>必填项</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0"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8</w:t>
            </w:r>
          </w:p>
        </w:tc>
        <w:tc>
          <w:tcPr>
            <w:tcW w:w="1258" w:type="dxa"/>
            <w:vMerge w:val="continue"/>
            <w:vAlign w:val="center"/>
          </w:tcPr>
          <w:p>
            <w:pPr>
              <w:pStyle w:val="11"/>
              <w:wordWrap/>
              <w:spacing w:after="0" w:line="240" w:lineRule="auto"/>
              <w:ind w:firstLine="0" w:firstLineChars="0"/>
              <w:jc w:val="center"/>
              <w:rPr>
                <w:bCs/>
                <w:sz w:val="24"/>
                <w:szCs w:val="24"/>
              </w:rPr>
            </w:pPr>
          </w:p>
        </w:tc>
        <w:tc>
          <w:tcPr>
            <w:tcW w:w="1959"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是否已对账</w:t>
            </w:r>
          </w:p>
        </w:tc>
        <w:tc>
          <w:tcPr>
            <w:tcW w:w="1253"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布尔型</w:t>
            </w:r>
          </w:p>
        </w:tc>
        <w:tc>
          <w:tcPr>
            <w:tcW w:w="3402" w:type="dxa"/>
            <w:shd w:val="clear" w:color="auto" w:fill="auto"/>
            <w:noWrap/>
          </w:tcPr>
          <w:p>
            <w:pPr>
              <w:pStyle w:val="11"/>
              <w:wordWrap/>
              <w:spacing w:after="0" w:line="240" w:lineRule="auto"/>
              <w:ind w:firstLine="0" w:firstLineChars="0"/>
              <w:rPr>
                <w:bCs/>
                <w:sz w:val="24"/>
                <w:szCs w:val="24"/>
              </w:rPr>
            </w:pPr>
            <w:r>
              <w:rPr>
                <w:rFonts w:hint="eastAsia"/>
                <w:bCs/>
                <w:sz w:val="24"/>
                <w:szCs w:val="24"/>
              </w:rPr>
              <w:t>选填项，记录企业已入账的收付款事项与银行对账单的匹配状态，企业可根据具体业务场景选择回写</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0"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9</w:t>
            </w:r>
          </w:p>
        </w:tc>
        <w:tc>
          <w:tcPr>
            <w:tcW w:w="1258" w:type="dxa"/>
            <w:vMerge w:val="continue"/>
            <w:vAlign w:val="center"/>
          </w:tcPr>
          <w:p>
            <w:pPr>
              <w:pStyle w:val="11"/>
              <w:wordWrap/>
              <w:spacing w:after="0" w:line="240" w:lineRule="auto"/>
              <w:ind w:firstLine="0" w:firstLineChars="0"/>
              <w:jc w:val="center"/>
              <w:rPr>
                <w:bCs/>
                <w:sz w:val="24"/>
                <w:szCs w:val="24"/>
              </w:rPr>
            </w:pPr>
          </w:p>
        </w:tc>
        <w:tc>
          <w:tcPr>
            <w:tcW w:w="1959"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是否已流转</w:t>
            </w:r>
          </w:p>
        </w:tc>
        <w:tc>
          <w:tcPr>
            <w:tcW w:w="1253"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布尔型</w:t>
            </w:r>
          </w:p>
        </w:tc>
        <w:tc>
          <w:tcPr>
            <w:tcW w:w="3402" w:type="dxa"/>
            <w:shd w:val="clear" w:color="auto" w:fill="auto"/>
            <w:noWrap/>
          </w:tcPr>
          <w:p>
            <w:pPr>
              <w:pStyle w:val="11"/>
              <w:wordWrap/>
              <w:spacing w:after="0" w:line="240" w:lineRule="auto"/>
              <w:ind w:firstLine="0" w:firstLineChars="0"/>
              <w:rPr>
                <w:bCs/>
                <w:sz w:val="24"/>
                <w:szCs w:val="24"/>
              </w:rPr>
            </w:pPr>
            <w:r>
              <w:rPr>
                <w:rFonts w:hint="eastAsia"/>
                <w:bCs/>
                <w:sz w:val="24"/>
                <w:szCs w:val="24"/>
              </w:rPr>
              <w:t>选填项，记录企业应收/应付款项流转给银行的状态，为银行开展供应链金融业务提供参考，企业可根据具体业务场景选择回写</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0"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1</w:t>
            </w:r>
            <w:r>
              <w:rPr>
                <w:bCs/>
                <w:sz w:val="24"/>
                <w:szCs w:val="24"/>
              </w:rPr>
              <w:t>0</w:t>
            </w:r>
          </w:p>
        </w:tc>
        <w:tc>
          <w:tcPr>
            <w:tcW w:w="1258" w:type="dxa"/>
            <w:vMerge w:val="restart"/>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收付款票据信息</w:t>
            </w:r>
          </w:p>
        </w:tc>
        <w:tc>
          <w:tcPr>
            <w:tcW w:w="1959"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票据类型</w:t>
            </w:r>
          </w:p>
        </w:tc>
        <w:tc>
          <w:tcPr>
            <w:tcW w:w="1253"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字符型</w:t>
            </w:r>
          </w:p>
        </w:tc>
        <w:tc>
          <w:tcPr>
            <w:tcW w:w="3402" w:type="dxa"/>
            <w:shd w:val="clear" w:color="auto" w:fill="auto"/>
            <w:noWrap/>
            <w:vAlign w:val="center"/>
          </w:tcPr>
          <w:p>
            <w:pPr>
              <w:pStyle w:val="11"/>
              <w:wordWrap/>
              <w:spacing w:after="0" w:line="240" w:lineRule="auto"/>
              <w:ind w:firstLine="0" w:firstLineChars="0"/>
              <w:rPr>
                <w:bCs/>
                <w:sz w:val="24"/>
                <w:szCs w:val="24"/>
              </w:rPr>
            </w:pPr>
            <w:r>
              <w:rPr>
                <w:rFonts w:hint="eastAsia"/>
                <w:bCs/>
                <w:sz w:val="24"/>
                <w:szCs w:val="24"/>
              </w:rPr>
              <w:t>选填项，记录收付款事项关联的票据类型，如增值税电子专用发票、非税收入一般缴款书等，企业可根据具体业务场景选择回写</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0"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11</w:t>
            </w:r>
          </w:p>
        </w:tc>
        <w:tc>
          <w:tcPr>
            <w:tcW w:w="1258" w:type="dxa"/>
            <w:vMerge w:val="continue"/>
            <w:vAlign w:val="center"/>
          </w:tcPr>
          <w:p>
            <w:pPr>
              <w:pStyle w:val="11"/>
              <w:wordWrap/>
              <w:spacing w:after="0" w:line="240" w:lineRule="auto"/>
              <w:ind w:firstLine="0" w:firstLineChars="0"/>
              <w:jc w:val="center"/>
              <w:rPr>
                <w:bCs/>
                <w:sz w:val="24"/>
                <w:szCs w:val="24"/>
              </w:rPr>
            </w:pPr>
          </w:p>
        </w:tc>
        <w:tc>
          <w:tcPr>
            <w:tcW w:w="1959"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开票日期</w:t>
            </w:r>
          </w:p>
        </w:tc>
        <w:tc>
          <w:tcPr>
            <w:tcW w:w="1253"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日期型</w:t>
            </w:r>
          </w:p>
        </w:tc>
        <w:tc>
          <w:tcPr>
            <w:tcW w:w="3402" w:type="dxa"/>
            <w:shd w:val="clear" w:color="auto" w:fill="auto"/>
            <w:noWrap/>
            <w:vAlign w:val="center"/>
          </w:tcPr>
          <w:p>
            <w:pPr>
              <w:pStyle w:val="11"/>
              <w:wordWrap/>
              <w:spacing w:after="0" w:line="240" w:lineRule="auto"/>
              <w:ind w:firstLine="0" w:firstLineChars="0"/>
              <w:rPr>
                <w:bCs/>
                <w:sz w:val="24"/>
                <w:szCs w:val="24"/>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0"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12</w:t>
            </w:r>
          </w:p>
        </w:tc>
        <w:tc>
          <w:tcPr>
            <w:tcW w:w="1258" w:type="dxa"/>
            <w:vMerge w:val="continue"/>
            <w:vAlign w:val="center"/>
          </w:tcPr>
          <w:p>
            <w:pPr>
              <w:pStyle w:val="11"/>
              <w:wordWrap/>
              <w:spacing w:after="0" w:line="240" w:lineRule="auto"/>
              <w:ind w:firstLine="0" w:firstLineChars="0"/>
              <w:jc w:val="center"/>
              <w:rPr>
                <w:bCs/>
                <w:sz w:val="24"/>
                <w:szCs w:val="24"/>
              </w:rPr>
            </w:pPr>
          </w:p>
        </w:tc>
        <w:tc>
          <w:tcPr>
            <w:tcW w:w="1959"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票据唯一标识</w:t>
            </w:r>
          </w:p>
        </w:tc>
        <w:tc>
          <w:tcPr>
            <w:tcW w:w="1253"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字符型</w:t>
            </w:r>
          </w:p>
        </w:tc>
        <w:tc>
          <w:tcPr>
            <w:tcW w:w="3402" w:type="dxa"/>
            <w:shd w:val="clear" w:color="auto" w:fill="auto"/>
            <w:noWrap/>
            <w:vAlign w:val="center"/>
          </w:tcPr>
          <w:p>
            <w:pPr>
              <w:pStyle w:val="11"/>
              <w:wordWrap/>
              <w:spacing w:after="0" w:line="240" w:lineRule="auto"/>
              <w:ind w:firstLine="0" w:firstLineChars="0"/>
              <w:rPr>
                <w:bCs/>
                <w:sz w:val="24"/>
                <w:szCs w:val="24"/>
              </w:rPr>
            </w:pPr>
            <w:r>
              <w:rPr>
                <w:rFonts w:hint="eastAsia"/>
                <w:bCs/>
                <w:sz w:val="24"/>
                <w:szCs w:val="24"/>
              </w:rPr>
              <w:t>选填项，记录收付款事项关联的票据唯一标识（如增值税发票代码+号码、非税收入一般缴款书标识等），企业可根据具体业务场景选择回写</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0"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13</w:t>
            </w:r>
          </w:p>
        </w:tc>
        <w:tc>
          <w:tcPr>
            <w:tcW w:w="1258" w:type="dxa"/>
            <w:vMerge w:val="restart"/>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 xml:space="preserve">会计主体信息 </w:t>
            </w:r>
          </w:p>
        </w:tc>
        <w:tc>
          <w:tcPr>
            <w:tcW w:w="1959"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会计主体统一社会信用代码</w:t>
            </w:r>
          </w:p>
        </w:tc>
        <w:tc>
          <w:tcPr>
            <w:tcW w:w="1253"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字符型</w:t>
            </w:r>
          </w:p>
        </w:tc>
        <w:tc>
          <w:tcPr>
            <w:tcW w:w="3402" w:type="dxa"/>
            <w:shd w:val="clear" w:color="auto" w:fill="auto"/>
            <w:noWrap/>
            <w:vAlign w:val="center"/>
          </w:tcPr>
          <w:p>
            <w:pPr>
              <w:pStyle w:val="11"/>
              <w:wordWrap/>
              <w:spacing w:after="0" w:line="240" w:lineRule="auto"/>
              <w:ind w:firstLine="0" w:firstLineChars="0"/>
              <w:rPr>
                <w:bCs/>
                <w:sz w:val="24"/>
                <w:szCs w:val="24"/>
              </w:rPr>
            </w:pPr>
            <w:r>
              <w:rPr>
                <w:rFonts w:hint="eastAsia"/>
                <w:bCs/>
                <w:sz w:val="24"/>
                <w:szCs w:val="24"/>
              </w:rPr>
              <w:t>必填项</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0"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14</w:t>
            </w:r>
          </w:p>
        </w:tc>
        <w:tc>
          <w:tcPr>
            <w:tcW w:w="1258" w:type="dxa"/>
            <w:vMerge w:val="continue"/>
            <w:vAlign w:val="center"/>
          </w:tcPr>
          <w:p>
            <w:pPr>
              <w:pStyle w:val="11"/>
              <w:wordWrap/>
              <w:spacing w:after="0" w:line="240" w:lineRule="auto"/>
              <w:ind w:firstLine="0" w:firstLineChars="0"/>
              <w:jc w:val="center"/>
              <w:rPr>
                <w:bCs/>
                <w:sz w:val="24"/>
                <w:szCs w:val="24"/>
              </w:rPr>
            </w:pPr>
          </w:p>
        </w:tc>
        <w:tc>
          <w:tcPr>
            <w:tcW w:w="1959"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会计主体名称</w:t>
            </w:r>
          </w:p>
        </w:tc>
        <w:tc>
          <w:tcPr>
            <w:tcW w:w="1253"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字符型</w:t>
            </w:r>
          </w:p>
        </w:tc>
        <w:tc>
          <w:tcPr>
            <w:tcW w:w="3402" w:type="dxa"/>
            <w:shd w:val="clear" w:color="auto" w:fill="auto"/>
            <w:noWrap/>
            <w:vAlign w:val="center"/>
          </w:tcPr>
          <w:p>
            <w:pPr>
              <w:pStyle w:val="11"/>
              <w:wordWrap/>
              <w:spacing w:after="0" w:line="240" w:lineRule="auto"/>
              <w:ind w:firstLine="0" w:firstLineChars="0"/>
              <w:rPr>
                <w:bCs/>
                <w:sz w:val="24"/>
                <w:szCs w:val="24"/>
              </w:rPr>
            </w:pPr>
            <w:r>
              <w:rPr>
                <w:rFonts w:hint="eastAsia"/>
                <w:bCs/>
                <w:sz w:val="24"/>
                <w:szCs w:val="24"/>
              </w:rPr>
              <w:t>必填项</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0"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15</w:t>
            </w:r>
          </w:p>
        </w:tc>
        <w:tc>
          <w:tcPr>
            <w:tcW w:w="1258" w:type="dxa"/>
            <w:vMerge w:val="restart"/>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记账凭证信息</w:t>
            </w:r>
          </w:p>
        </w:tc>
        <w:tc>
          <w:tcPr>
            <w:tcW w:w="1959"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记账凭证编号</w:t>
            </w:r>
          </w:p>
        </w:tc>
        <w:tc>
          <w:tcPr>
            <w:tcW w:w="1253"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字符型</w:t>
            </w:r>
          </w:p>
        </w:tc>
        <w:tc>
          <w:tcPr>
            <w:tcW w:w="3402" w:type="dxa"/>
            <w:shd w:val="clear" w:color="auto" w:fill="auto"/>
            <w:noWrap/>
            <w:vAlign w:val="center"/>
          </w:tcPr>
          <w:p>
            <w:pPr>
              <w:pStyle w:val="11"/>
              <w:wordWrap/>
              <w:spacing w:after="0" w:line="240" w:lineRule="auto"/>
              <w:ind w:firstLine="0" w:firstLineChars="0"/>
              <w:rPr>
                <w:bCs/>
                <w:sz w:val="24"/>
                <w:szCs w:val="24"/>
              </w:rPr>
            </w:pPr>
            <w:r>
              <w:rPr>
                <w:rFonts w:hint="eastAsia"/>
                <w:bCs/>
                <w:sz w:val="24"/>
                <w:szCs w:val="24"/>
              </w:rPr>
              <w:t>必填项，记账凭证的唯一标识，用于验证回单事项入账的唯一性</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0"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16</w:t>
            </w:r>
          </w:p>
        </w:tc>
        <w:tc>
          <w:tcPr>
            <w:tcW w:w="1258" w:type="dxa"/>
            <w:vMerge w:val="continue"/>
            <w:vAlign w:val="center"/>
          </w:tcPr>
          <w:p>
            <w:pPr>
              <w:pStyle w:val="11"/>
              <w:wordWrap/>
              <w:spacing w:after="0" w:line="240" w:lineRule="auto"/>
              <w:ind w:firstLine="0" w:firstLineChars="0"/>
              <w:jc w:val="center"/>
              <w:rPr>
                <w:bCs/>
                <w:sz w:val="24"/>
                <w:szCs w:val="24"/>
              </w:rPr>
            </w:pPr>
          </w:p>
        </w:tc>
        <w:tc>
          <w:tcPr>
            <w:tcW w:w="1959"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记账日期</w:t>
            </w:r>
          </w:p>
        </w:tc>
        <w:tc>
          <w:tcPr>
            <w:tcW w:w="1253"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日期型</w:t>
            </w:r>
          </w:p>
        </w:tc>
        <w:tc>
          <w:tcPr>
            <w:tcW w:w="3402" w:type="dxa"/>
            <w:shd w:val="clear" w:color="auto" w:fill="auto"/>
            <w:noWrap/>
            <w:vAlign w:val="center"/>
          </w:tcPr>
          <w:p>
            <w:pPr>
              <w:pStyle w:val="11"/>
              <w:wordWrap/>
              <w:spacing w:after="0" w:line="240" w:lineRule="auto"/>
              <w:ind w:firstLine="0" w:firstLineChars="0"/>
              <w:rPr>
                <w:bCs/>
                <w:sz w:val="24"/>
                <w:szCs w:val="24"/>
              </w:rPr>
            </w:pPr>
            <w:r>
              <w:rPr>
                <w:rFonts w:hint="eastAsia"/>
                <w:bCs/>
                <w:sz w:val="24"/>
                <w:szCs w:val="24"/>
              </w:rPr>
              <w:t>必填项，格式为年-月-日，如2022-08-18</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0"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17</w:t>
            </w:r>
          </w:p>
        </w:tc>
        <w:tc>
          <w:tcPr>
            <w:tcW w:w="1258" w:type="dxa"/>
            <w:vMerge w:val="continue"/>
            <w:vAlign w:val="center"/>
          </w:tcPr>
          <w:p>
            <w:pPr>
              <w:pStyle w:val="11"/>
              <w:wordWrap/>
              <w:spacing w:after="0" w:line="240" w:lineRule="auto"/>
              <w:ind w:firstLine="0" w:firstLineChars="0"/>
              <w:jc w:val="center"/>
              <w:rPr>
                <w:bCs/>
                <w:sz w:val="24"/>
                <w:szCs w:val="24"/>
              </w:rPr>
            </w:pPr>
          </w:p>
        </w:tc>
        <w:tc>
          <w:tcPr>
            <w:tcW w:w="1959"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会计期间</w:t>
            </w:r>
          </w:p>
        </w:tc>
        <w:tc>
          <w:tcPr>
            <w:tcW w:w="1253"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年月型</w:t>
            </w:r>
          </w:p>
        </w:tc>
        <w:tc>
          <w:tcPr>
            <w:tcW w:w="3402" w:type="dxa"/>
            <w:shd w:val="clear" w:color="auto" w:fill="auto"/>
            <w:noWrap/>
            <w:vAlign w:val="center"/>
          </w:tcPr>
          <w:p>
            <w:pPr>
              <w:pStyle w:val="11"/>
              <w:wordWrap/>
              <w:spacing w:after="0" w:line="240" w:lineRule="auto"/>
              <w:ind w:firstLine="0" w:firstLineChars="0"/>
              <w:rPr>
                <w:bCs/>
                <w:sz w:val="24"/>
                <w:szCs w:val="24"/>
              </w:rPr>
            </w:pPr>
            <w:r>
              <w:rPr>
                <w:rFonts w:hint="eastAsia"/>
                <w:bCs/>
                <w:sz w:val="24"/>
                <w:szCs w:val="24"/>
              </w:rPr>
              <w:t>必填项，格式为年-月，如2022-08</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0"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18</w:t>
            </w:r>
          </w:p>
        </w:tc>
        <w:tc>
          <w:tcPr>
            <w:tcW w:w="1258" w:type="dxa"/>
            <w:vMerge w:val="continue"/>
            <w:vAlign w:val="center"/>
          </w:tcPr>
          <w:p>
            <w:pPr>
              <w:pStyle w:val="11"/>
              <w:wordWrap/>
              <w:spacing w:after="0" w:line="240" w:lineRule="auto"/>
              <w:ind w:firstLine="0" w:firstLineChars="0"/>
              <w:jc w:val="center"/>
              <w:rPr>
                <w:bCs/>
                <w:sz w:val="24"/>
                <w:szCs w:val="24"/>
              </w:rPr>
            </w:pPr>
          </w:p>
        </w:tc>
        <w:tc>
          <w:tcPr>
            <w:tcW w:w="1959"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记账凭证摘要</w:t>
            </w:r>
          </w:p>
        </w:tc>
        <w:tc>
          <w:tcPr>
            <w:tcW w:w="1253"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字符型</w:t>
            </w:r>
          </w:p>
        </w:tc>
        <w:tc>
          <w:tcPr>
            <w:tcW w:w="3402" w:type="dxa"/>
            <w:shd w:val="clear" w:color="auto" w:fill="auto"/>
            <w:noWrap/>
            <w:vAlign w:val="center"/>
          </w:tcPr>
          <w:p>
            <w:pPr>
              <w:pStyle w:val="11"/>
              <w:wordWrap/>
              <w:spacing w:after="0" w:line="240" w:lineRule="auto"/>
              <w:ind w:firstLine="0" w:firstLineChars="0"/>
              <w:rPr>
                <w:bCs/>
                <w:sz w:val="24"/>
                <w:szCs w:val="24"/>
              </w:rPr>
            </w:pPr>
            <w:r>
              <w:rPr>
                <w:rFonts w:hint="eastAsia"/>
                <w:bCs/>
                <w:sz w:val="24"/>
                <w:szCs w:val="24"/>
              </w:rPr>
              <w:t>选填项，企业可根据记账凭证实际情况选择回写，若摘要以分录行记录输出，仅记录第一行凭证分录的摘要信息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0"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19</w:t>
            </w:r>
          </w:p>
        </w:tc>
        <w:tc>
          <w:tcPr>
            <w:tcW w:w="1258" w:type="dxa"/>
            <w:vMerge w:val="restart"/>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借贷方会计信息</w:t>
            </w:r>
          </w:p>
        </w:tc>
        <w:tc>
          <w:tcPr>
            <w:tcW w:w="1959"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借贷方向</w:t>
            </w:r>
          </w:p>
        </w:tc>
        <w:tc>
          <w:tcPr>
            <w:tcW w:w="1253"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字符型</w:t>
            </w:r>
          </w:p>
        </w:tc>
        <w:tc>
          <w:tcPr>
            <w:tcW w:w="3402" w:type="dxa"/>
            <w:shd w:val="clear" w:color="auto" w:fill="auto"/>
            <w:noWrap/>
            <w:vAlign w:val="center"/>
          </w:tcPr>
          <w:p>
            <w:pPr>
              <w:pStyle w:val="11"/>
              <w:wordWrap/>
              <w:spacing w:after="0" w:line="240" w:lineRule="auto"/>
              <w:ind w:firstLine="0" w:firstLineChars="0"/>
              <w:rPr>
                <w:bCs/>
                <w:sz w:val="24"/>
                <w:szCs w:val="24"/>
              </w:rPr>
            </w:pPr>
            <w:r>
              <w:rPr>
                <w:rFonts w:hint="eastAsia"/>
                <w:bCs/>
                <w:sz w:val="24"/>
                <w:szCs w:val="24"/>
              </w:rPr>
              <w:t>选填项，企业可根据每条会计分录的借贷方向选择回写，填写“借方”或“贷方”</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0"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2</w:t>
            </w:r>
            <w:r>
              <w:rPr>
                <w:bCs/>
                <w:sz w:val="24"/>
                <w:szCs w:val="24"/>
              </w:rPr>
              <w:t>0</w:t>
            </w:r>
          </w:p>
        </w:tc>
        <w:tc>
          <w:tcPr>
            <w:tcW w:w="1258" w:type="dxa"/>
            <w:vMerge w:val="continue"/>
            <w:vAlign w:val="center"/>
          </w:tcPr>
          <w:p>
            <w:pPr>
              <w:pStyle w:val="11"/>
              <w:wordWrap/>
              <w:spacing w:after="0" w:line="240" w:lineRule="auto"/>
              <w:ind w:firstLine="0" w:firstLineChars="0"/>
              <w:jc w:val="center"/>
              <w:rPr>
                <w:bCs/>
                <w:sz w:val="24"/>
                <w:szCs w:val="24"/>
              </w:rPr>
            </w:pPr>
          </w:p>
        </w:tc>
        <w:tc>
          <w:tcPr>
            <w:tcW w:w="1959"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总账科目名称</w:t>
            </w:r>
          </w:p>
        </w:tc>
        <w:tc>
          <w:tcPr>
            <w:tcW w:w="1253"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字符型</w:t>
            </w:r>
          </w:p>
        </w:tc>
        <w:tc>
          <w:tcPr>
            <w:tcW w:w="3402" w:type="dxa"/>
            <w:shd w:val="clear" w:color="auto" w:fill="auto"/>
            <w:noWrap/>
            <w:vAlign w:val="center"/>
          </w:tcPr>
          <w:p>
            <w:pPr>
              <w:pStyle w:val="11"/>
              <w:wordWrap/>
              <w:spacing w:after="0" w:line="240" w:lineRule="auto"/>
              <w:ind w:firstLine="0" w:firstLineChars="0"/>
              <w:rPr>
                <w:bCs/>
                <w:sz w:val="24"/>
                <w:szCs w:val="24"/>
              </w:rPr>
            </w:pPr>
            <w:r>
              <w:rPr>
                <w:rFonts w:hint="eastAsia"/>
                <w:bCs/>
                <w:sz w:val="24"/>
                <w:szCs w:val="24"/>
              </w:rPr>
              <w:t>选填项，企业可根据每条会计分录回写会计准则约定的统一规范科目名称</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0"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2</w:t>
            </w:r>
            <w:r>
              <w:rPr>
                <w:bCs/>
                <w:sz w:val="24"/>
                <w:szCs w:val="24"/>
              </w:rPr>
              <w:t>1</w:t>
            </w:r>
          </w:p>
        </w:tc>
        <w:tc>
          <w:tcPr>
            <w:tcW w:w="1258" w:type="dxa"/>
            <w:vMerge w:val="continue"/>
            <w:vAlign w:val="center"/>
          </w:tcPr>
          <w:p>
            <w:pPr>
              <w:pStyle w:val="11"/>
              <w:wordWrap/>
              <w:spacing w:after="0" w:line="240" w:lineRule="auto"/>
              <w:ind w:firstLine="0" w:firstLineChars="0"/>
              <w:jc w:val="center"/>
              <w:rPr>
                <w:bCs/>
                <w:sz w:val="24"/>
                <w:szCs w:val="24"/>
              </w:rPr>
            </w:pPr>
          </w:p>
        </w:tc>
        <w:tc>
          <w:tcPr>
            <w:tcW w:w="1959"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明细科目名称</w:t>
            </w:r>
          </w:p>
        </w:tc>
        <w:tc>
          <w:tcPr>
            <w:tcW w:w="1253"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字符型</w:t>
            </w:r>
          </w:p>
        </w:tc>
        <w:tc>
          <w:tcPr>
            <w:tcW w:w="3402" w:type="dxa"/>
            <w:shd w:val="clear" w:color="auto" w:fill="auto"/>
            <w:noWrap/>
            <w:vAlign w:val="center"/>
          </w:tcPr>
          <w:p>
            <w:pPr>
              <w:pStyle w:val="11"/>
              <w:wordWrap/>
              <w:spacing w:after="0" w:line="240" w:lineRule="auto"/>
              <w:ind w:firstLine="0" w:firstLineChars="0"/>
              <w:rPr>
                <w:bCs/>
                <w:sz w:val="24"/>
                <w:szCs w:val="24"/>
              </w:rPr>
            </w:pPr>
            <w:r>
              <w:rPr>
                <w:rFonts w:hint="eastAsia"/>
                <w:bCs/>
                <w:sz w:val="24"/>
                <w:szCs w:val="24"/>
              </w:rPr>
              <w:t>选填项，企业可根据每条会计分录回写准确反映经济业务内容的末级科目或者辅助信息</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00"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2</w:t>
            </w:r>
            <w:r>
              <w:rPr>
                <w:bCs/>
                <w:sz w:val="24"/>
                <w:szCs w:val="24"/>
              </w:rPr>
              <w:t>2</w:t>
            </w:r>
          </w:p>
        </w:tc>
        <w:tc>
          <w:tcPr>
            <w:tcW w:w="1258" w:type="dxa"/>
            <w:vMerge w:val="continue"/>
            <w:vAlign w:val="center"/>
          </w:tcPr>
          <w:p>
            <w:pPr>
              <w:pStyle w:val="11"/>
              <w:wordWrap/>
              <w:spacing w:after="0" w:line="240" w:lineRule="auto"/>
              <w:ind w:firstLine="0" w:firstLineChars="0"/>
              <w:jc w:val="center"/>
              <w:rPr>
                <w:bCs/>
                <w:sz w:val="24"/>
                <w:szCs w:val="24"/>
              </w:rPr>
            </w:pPr>
          </w:p>
        </w:tc>
        <w:tc>
          <w:tcPr>
            <w:tcW w:w="1959"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入账金额</w:t>
            </w:r>
          </w:p>
        </w:tc>
        <w:tc>
          <w:tcPr>
            <w:tcW w:w="1253" w:type="dxa"/>
            <w:shd w:val="clear" w:color="auto" w:fill="auto"/>
            <w:noWrap/>
            <w:vAlign w:val="center"/>
          </w:tcPr>
          <w:p>
            <w:pPr>
              <w:pStyle w:val="11"/>
              <w:wordWrap/>
              <w:spacing w:after="0" w:line="240" w:lineRule="auto"/>
              <w:ind w:firstLine="0" w:firstLineChars="0"/>
              <w:jc w:val="center"/>
              <w:rPr>
                <w:bCs/>
                <w:sz w:val="24"/>
                <w:szCs w:val="24"/>
              </w:rPr>
            </w:pPr>
            <w:r>
              <w:rPr>
                <w:rFonts w:hint="eastAsia"/>
                <w:bCs/>
                <w:sz w:val="24"/>
                <w:szCs w:val="24"/>
              </w:rPr>
              <w:t>货币型</w:t>
            </w:r>
          </w:p>
        </w:tc>
        <w:tc>
          <w:tcPr>
            <w:tcW w:w="3402" w:type="dxa"/>
            <w:shd w:val="clear" w:color="auto" w:fill="auto"/>
            <w:noWrap/>
            <w:vAlign w:val="center"/>
          </w:tcPr>
          <w:p>
            <w:pPr>
              <w:pStyle w:val="11"/>
              <w:wordWrap/>
              <w:spacing w:after="0" w:line="240" w:lineRule="auto"/>
              <w:ind w:firstLine="0" w:firstLineChars="0"/>
              <w:rPr>
                <w:bCs/>
                <w:sz w:val="24"/>
                <w:szCs w:val="24"/>
              </w:rPr>
            </w:pPr>
            <w:r>
              <w:rPr>
                <w:rFonts w:hint="eastAsia"/>
                <w:bCs/>
                <w:sz w:val="24"/>
                <w:szCs w:val="24"/>
              </w:rPr>
              <w:t>选填项，企业记录根据科目的本位币入账金额选择回写</w:t>
            </w:r>
          </w:p>
        </w:tc>
      </w:tr>
    </w:tbl>
    <w:p>
      <w:pPr>
        <w:pStyle w:val="14"/>
        <w:ind w:left="440" w:firstLine="0" w:firstLineChars="0"/>
      </w:pPr>
      <w:r>
        <w:t>2</w:t>
      </w:r>
      <w:r>
        <w:rPr>
          <w:rFonts w:hint="eastAsia"/>
        </w:rPr>
        <w:t>、银行电子回单回写示例</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企业、单位的业务人员在使用银行电子回单进行入账时，财务共享系统能够通过电子回单业务（对象）数据与企业会计凭证的映射关系自动生成凭证。在回单的流转过程中，系统也会将回单状态信息和相关的会计信息即时回写到底层数据库或相应实例文档中。以银行电子回单为例，将对下列信息进行回写。</w:t>
      </w:r>
    </w:p>
    <w:p>
      <w:pPr>
        <w:pStyle w:val="11"/>
        <w:numPr>
          <w:ilvl w:val="0"/>
          <w:numId w:val="5"/>
        </w:numPr>
        <w:wordWrap/>
        <w:spacing w:after="0" w:line="560" w:lineRule="exact"/>
        <w:ind w:firstLineChars="0"/>
        <w:rPr>
          <w:b/>
          <w:bCs/>
          <w:szCs w:val="28"/>
        </w:rPr>
      </w:pPr>
      <w:r>
        <w:rPr>
          <w:rFonts w:hint="eastAsia"/>
          <w:b/>
          <w:bCs/>
        </w:rPr>
        <w:t>回单</w:t>
      </w:r>
      <w:r>
        <w:rPr>
          <w:rFonts w:hint="eastAsia"/>
          <w:b/>
          <w:bCs/>
          <w:szCs w:val="28"/>
        </w:rPr>
        <w:t>状态信息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（1）校验码：</w:t>
      </w:r>
      <w:r>
        <w:rPr>
          <w:rFonts w:ascii="Times New Roman" w:hAnsi="Times New Roman" w:eastAsia="仿宋_GB2312"/>
          <w:sz w:val="28"/>
          <w:szCs w:val="28"/>
        </w:rPr>
        <w:t>C10303110004552019030390296600243000000000019444</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2</w:t>
      </w:r>
      <w:r>
        <w:rPr>
          <w:rFonts w:hint="eastAsia" w:ascii="Times New Roman" w:hAnsi="Times New Roman" w:eastAsia="仿宋_GB2312"/>
          <w:sz w:val="28"/>
          <w:szCs w:val="28"/>
        </w:rPr>
        <w:t>）币种：C</w:t>
      </w:r>
      <w:r>
        <w:rPr>
          <w:rFonts w:ascii="Times New Roman" w:hAnsi="Times New Roman" w:eastAsia="仿宋_GB2312"/>
          <w:sz w:val="28"/>
          <w:szCs w:val="28"/>
        </w:rPr>
        <w:t>NY</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（3）小写金额：</w:t>
      </w:r>
      <w:r>
        <w:rPr>
          <w:rFonts w:ascii="Times New Roman" w:hAnsi="Times New Roman" w:eastAsia="仿宋_GB2312"/>
          <w:sz w:val="28"/>
          <w:szCs w:val="28"/>
        </w:rPr>
        <w:t>1000000.00</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4</w:t>
      </w:r>
      <w:r>
        <w:rPr>
          <w:rFonts w:hint="eastAsia" w:ascii="Times New Roman" w:hAnsi="Times New Roman" w:eastAsia="仿宋_GB2312"/>
          <w:sz w:val="28"/>
          <w:szCs w:val="28"/>
        </w:rPr>
        <w:t>）合同编号：</w:t>
      </w:r>
      <w:r>
        <w:rPr>
          <w:rFonts w:ascii="Times New Roman" w:hAnsi="Times New Roman" w:eastAsia="仿宋_GB2312"/>
          <w:sz w:val="28"/>
          <w:szCs w:val="28"/>
        </w:rPr>
        <w:t>HT123456</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5</w:t>
      </w:r>
      <w:r>
        <w:rPr>
          <w:rFonts w:hint="eastAsia" w:ascii="Times New Roman" w:hAnsi="Times New Roman" w:eastAsia="仿宋_GB2312"/>
          <w:sz w:val="28"/>
          <w:szCs w:val="28"/>
        </w:rPr>
        <w:t>）票据类型：增值税电子专用发票</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6</w:t>
      </w:r>
      <w:r>
        <w:rPr>
          <w:rFonts w:hint="eastAsia" w:ascii="Times New Roman" w:hAnsi="Times New Roman" w:eastAsia="仿宋_GB2312"/>
          <w:sz w:val="28"/>
          <w:szCs w:val="28"/>
        </w:rPr>
        <w:t>）开票日期：</w:t>
      </w:r>
      <w:r>
        <w:rPr>
          <w:rFonts w:ascii="Times New Roman" w:hAnsi="Times New Roman" w:eastAsia="仿宋_GB2312"/>
          <w:sz w:val="28"/>
          <w:szCs w:val="28"/>
        </w:rPr>
        <w:t>20XX-XX-XX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7</w:t>
      </w:r>
      <w:r>
        <w:rPr>
          <w:rFonts w:hint="eastAsia" w:ascii="Times New Roman" w:hAnsi="Times New Roman" w:eastAsia="仿宋_GB2312"/>
          <w:sz w:val="28"/>
          <w:szCs w:val="28"/>
        </w:rPr>
        <w:t>）票据唯一标识：</w:t>
      </w:r>
      <w:r>
        <w:rPr>
          <w:rFonts w:ascii="Times New Roman" w:hAnsi="Times New Roman" w:eastAsia="仿宋_GB2312"/>
          <w:sz w:val="28"/>
          <w:szCs w:val="28"/>
        </w:rPr>
        <w:t>06200210011300341001</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8</w:t>
      </w:r>
      <w:r>
        <w:rPr>
          <w:rFonts w:hint="eastAsia" w:ascii="Times New Roman" w:hAnsi="Times New Roman" w:eastAsia="仿宋_GB2312"/>
          <w:sz w:val="28"/>
          <w:szCs w:val="28"/>
        </w:rPr>
        <w:t>）应收/付款项金额：</w:t>
      </w:r>
      <w:r>
        <w:rPr>
          <w:rFonts w:ascii="Times New Roman" w:hAnsi="Times New Roman" w:eastAsia="仿宋_GB2312"/>
          <w:sz w:val="28"/>
          <w:szCs w:val="28"/>
        </w:rPr>
        <w:t>1000000.00</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9</w:t>
      </w:r>
      <w:r>
        <w:rPr>
          <w:rFonts w:hint="eastAsia" w:ascii="Times New Roman" w:hAnsi="Times New Roman" w:eastAsia="仿宋_GB2312"/>
          <w:sz w:val="28"/>
          <w:szCs w:val="28"/>
        </w:rPr>
        <w:t>）是否已认领：是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10</w:t>
      </w:r>
      <w:r>
        <w:rPr>
          <w:rFonts w:hint="eastAsia" w:ascii="Times New Roman" w:hAnsi="Times New Roman" w:eastAsia="仿宋_GB2312"/>
          <w:sz w:val="28"/>
          <w:szCs w:val="28"/>
        </w:rPr>
        <w:t>）是否已入账：是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11</w:t>
      </w:r>
      <w:r>
        <w:rPr>
          <w:rFonts w:hint="eastAsia" w:ascii="Times New Roman" w:hAnsi="Times New Roman" w:eastAsia="仿宋_GB2312"/>
          <w:sz w:val="28"/>
          <w:szCs w:val="28"/>
        </w:rPr>
        <w:t>）是否已对账：是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12</w:t>
      </w:r>
      <w:r>
        <w:rPr>
          <w:rFonts w:hint="eastAsia" w:ascii="Times New Roman" w:hAnsi="Times New Roman" w:eastAsia="仿宋_GB2312"/>
          <w:sz w:val="28"/>
          <w:szCs w:val="28"/>
        </w:rPr>
        <w:t>）是否已流转：否</w:t>
      </w:r>
    </w:p>
    <w:p>
      <w:pPr>
        <w:pStyle w:val="11"/>
        <w:numPr>
          <w:ilvl w:val="0"/>
          <w:numId w:val="5"/>
        </w:numPr>
        <w:wordWrap/>
        <w:spacing w:after="0" w:line="560" w:lineRule="exact"/>
        <w:ind w:firstLineChars="0"/>
        <w:rPr>
          <w:b/>
          <w:bCs/>
        </w:rPr>
      </w:pPr>
      <w:r>
        <w:rPr>
          <w:rFonts w:hint="eastAsia"/>
          <w:b/>
          <w:bCs/>
        </w:rPr>
        <w:t>会计主体信息</w:t>
      </w:r>
    </w:p>
    <w:p>
      <w:pPr>
        <w:spacing w:after="0" w:line="360" w:lineRule="auto"/>
        <w:ind w:firstLine="560" w:firstLineChars="200"/>
        <w:rPr>
          <w:rFonts w:ascii="Times New Roman" w:hAnsi="Times New Roman" w:eastAsia="仿宋_GB2312"/>
          <w:sz w:val="28"/>
          <w:szCs w:val="28"/>
        </w:rPr>
      </w:pPr>
      <w:bookmarkStart w:id="1" w:name="_Hlk82258408"/>
      <w:r>
        <w:rPr>
          <w:rFonts w:hint="eastAsia" w:ascii="Times New Roman" w:hAnsi="Times New Roman" w:eastAsia="仿宋_GB2312"/>
          <w:sz w:val="28"/>
          <w:szCs w:val="28"/>
        </w:rPr>
        <w:t>（</w:t>
      </w:r>
      <w:r>
        <w:rPr>
          <w:rFonts w:ascii="Times New Roman" w:hAnsi="Times New Roman" w:eastAsia="仿宋_GB2312"/>
          <w:sz w:val="28"/>
          <w:szCs w:val="28"/>
        </w:rPr>
        <w:t>1</w:t>
      </w:r>
      <w:r>
        <w:rPr>
          <w:rFonts w:hint="eastAsia" w:ascii="Times New Roman" w:hAnsi="Times New Roman" w:eastAsia="仿宋_GB2312"/>
          <w:sz w:val="28"/>
          <w:szCs w:val="28"/>
        </w:rPr>
        <w:t>）会计主体统一社会信用代码：</w:t>
      </w:r>
      <w:r>
        <w:rPr>
          <w:rFonts w:ascii="Times New Roman" w:hAnsi="Times New Roman" w:eastAsia="仿宋_GB2312"/>
          <w:sz w:val="28"/>
          <w:szCs w:val="28"/>
        </w:rPr>
        <w:t>91620000700012XXXX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（2）会计主体名称：X</w:t>
      </w:r>
      <w:r>
        <w:rPr>
          <w:rFonts w:ascii="Times New Roman" w:hAnsi="Times New Roman" w:eastAsia="仿宋_GB2312"/>
          <w:sz w:val="28"/>
          <w:szCs w:val="28"/>
        </w:rPr>
        <w:t xml:space="preserve">YZ </w:t>
      </w:r>
    </w:p>
    <w:bookmarkEnd w:id="1"/>
    <w:p>
      <w:pPr>
        <w:pStyle w:val="11"/>
        <w:numPr>
          <w:ilvl w:val="0"/>
          <w:numId w:val="5"/>
        </w:numPr>
        <w:wordWrap/>
        <w:spacing w:after="0" w:line="560" w:lineRule="exact"/>
        <w:ind w:firstLineChars="0"/>
        <w:rPr>
          <w:b/>
          <w:bCs/>
        </w:rPr>
      </w:pPr>
      <w:r>
        <w:rPr>
          <w:rFonts w:hint="eastAsia"/>
          <w:b/>
          <w:bCs/>
        </w:rPr>
        <w:t>基础会计信息</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（1）记账凭证编号：</w:t>
      </w:r>
      <w:r>
        <w:rPr>
          <w:rFonts w:ascii="Times New Roman" w:hAnsi="Times New Roman" w:eastAsia="仿宋_GB2312"/>
          <w:sz w:val="28"/>
          <w:szCs w:val="28"/>
        </w:rPr>
        <w:t>123456</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（2）记账日期：</w:t>
      </w:r>
      <w:r>
        <w:rPr>
          <w:rFonts w:ascii="Times New Roman" w:hAnsi="Times New Roman" w:eastAsia="仿宋_GB2312"/>
          <w:sz w:val="28"/>
          <w:szCs w:val="28"/>
        </w:rPr>
        <w:t>20XX-XX-XX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（3）会计期间：</w:t>
      </w:r>
      <w:r>
        <w:rPr>
          <w:rFonts w:ascii="Times New Roman" w:hAnsi="Times New Roman" w:eastAsia="仿宋_GB2312"/>
          <w:sz w:val="28"/>
          <w:szCs w:val="28"/>
        </w:rPr>
        <w:t>20XX-XX</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（4）记账凭证摘要：支付供应商分包款</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5</w:t>
      </w:r>
      <w:r>
        <w:rPr>
          <w:rFonts w:hint="eastAsia" w:ascii="Times New Roman" w:hAnsi="Times New Roman" w:eastAsia="仿宋_GB2312"/>
          <w:sz w:val="28"/>
          <w:szCs w:val="28"/>
        </w:rPr>
        <w:t>）借贷方向：借方</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6</w:t>
      </w:r>
      <w:r>
        <w:rPr>
          <w:rFonts w:hint="eastAsia" w:ascii="Times New Roman" w:hAnsi="Times New Roman" w:eastAsia="仿宋_GB2312"/>
          <w:sz w:val="28"/>
          <w:szCs w:val="28"/>
        </w:rPr>
        <w:t>）总账科目名称：应付账款</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7</w:t>
      </w:r>
      <w:r>
        <w:rPr>
          <w:rFonts w:hint="eastAsia" w:ascii="Times New Roman" w:hAnsi="Times New Roman" w:eastAsia="仿宋_GB2312"/>
          <w:sz w:val="28"/>
          <w:szCs w:val="28"/>
        </w:rPr>
        <w:t>）明细科目名称：工程款</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8</w:t>
      </w:r>
      <w:r>
        <w:rPr>
          <w:rFonts w:hint="eastAsia" w:ascii="Times New Roman" w:hAnsi="Times New Roman" w:eastAsia="仿宋_GB2312"/>
          <w:sz w:val="28"/>
          <w:szCs w:val="28"/>
        </w:rPr>
        <w:t>）入账金额：</w:t>
      </w:r>
      <w:r>
        <w:rPr>
          <w:rFonts w:ascii="Times New Roman" w:hAnsi="Times New Roman" w:eastAsia="仿宋_GB2312"/>
          <w:sz w:val="28"/>
          <w:szCs w:val="28"/>
        </w:rPr>
        <w:t>800000.00</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9</w:t>
      </w:r>
      <w:r>
        <w:rPr>
          <w:rFonts w:hint="eastAsia" w:ascii="Times New Roman" w:hAnsi="Times New Roman" w:eastAsia="仿宋_GB2312"/>
          <w:sz w:val="28"/>
          <w:szCs w:val="28"/>
        </w:rPr>
        <w:t>）借贷方向：借方</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10</w:t>
      </w:r>
      <w:r>
        <w:rPr>
          <w:rFonts w:hint="eastAsia" w:ascii="Times New Roman" w:hAnsi="Times New Roman" w:eastAsia="仿宋_GB2312"/>
          <w:sz w:val="28"/>
          <w:szCs w:val="28"/>
        </w:rPr>
        <w:t>）总账科目名称：应付账款</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11</w:t>
      </w:r>
      <w:r>
        <w:rPr>
          <w:rFonts w:hint="eastAsia" w:ascii="Times New Roman" w:hAnsi="Times New Roman" w:eastAsia="仿宋_GB2312"/>
          <w:sz w:val="28"/>
          <w:szCs w:val="28"/>
        </w:rPr>
        <w:t>）明细科目名称：其他</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12</w:t>
      </w:r>
      <w:r>
        <w:rPr>
          <w:rFonts w:hint="eastAsia" w:ascii="Times New Roman" w:hAnsi="Times New Roman" w:eastAsia="仿宋_GB2312"/>
          <w:sz w:val="28"/>
          <w:szCs w:val="28"/>
        </w:rPr>
        <w:t>）入账金额：</w:t>
      </w:r>
      <w:r>
        <w:rPr>
          <w:rFonts w:ascii="Times New Roman" w:hAnsi="Times New Roman" w:eastAsia="仿宋_GB2312"/>
          <w:sz w:val="28"/>
          <w:szCs w:val="28"/>
        </w:rPr>
        <w:t>200000.00</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13</w:t>
      </w:r>
      <w:r>
        <w:rPr>
          <w:rFonts w:hint="eastAsia" w:ascii="Times New Roman" w:hAnsi="Times New Roman" w:eastAsia="仿宋_GB2312"/>
          <w:sz w:val="28"/>
          <w:szCs w:val="28"/>
        </w:rPr>
        <w:t>）借贷方向：贷方</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w:t>
      </w:r>
      <w:r>
        <w:rPr>
          <w:rFonts w:ascii="Times New Roman" w:hAnsi="Times New Roman" w:eastAsia="仿宋_GB2312"/>
          <w:sz w:val="28"/>
          <w:szCs w:val="28"/>
        </w:rPr>
        <w:t>14</w:t>
      </w:r>
      <w:r>
        <w:rPr>
          <w:rFonts w:hint="eastAsia" w:ascii="Times New Roman" w:hAnsi="Times New Roman" w:eastAsia="仿宋_GB2312"/>
          <w:sz w:val="28"/>
          <w:szCs w:val="28"/>
        </w:rPr>
        <w:t>）总账科目名称：银行存款</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w:t>
      </w:r>
      <w:r>
        <w:rPr>
          <w:rFonts w:ascii="Times New Roman" w:hAnsi="Times New Roman" w:eastAsia="仿宋_GB2312"/>
          <w:sz w:val="28"/>
          <w:szCs w:val="28"/>
        </w:rPr>
        <w:t>5</w:t>
      </w:r>
      <w:r>
        <w:rPr>
          <w:rFonts w:hint="eastAsia" w:ascii="Times New Roman" w:hAnsi="Times New Roman" w:eastAsia="仿宋_GB2312"/>
          <w:sz w:val="28"/>
          <w:szCs w:val="28"/>
        </w:rPr>
        <w:t>）入账金额：</w:t>
      </w:r>
      <w:r>
        <w:rPr>
          <w:rFonts w:ascii="Times New Roman" w:hAnsi="Times New Roman" w:eastAsia="仿宋_GB2312"/>
          <w:sz w:val="28"/>
          <w:szCs w:val="28"/>
        </w:rPr>
        <w:t>1000000.00</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考虑到账务处理中经常出现多借多贷的会计分录，在《银行电子回单</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》中加入了“借贷方会计信息”这一元组元素，用来增加浮动行针对不确定的分录行进行标记。</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以下列会计分录为例：</w:t>
      </w:r>
    </w:p>
    <w:tbl>
      <w:tblPr>
        <w:tblStyle w:val="6"/>
        <w:tblW w:w="99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99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3" w:type="dxa"/>
            <w:shd w:val="clear" w:color="auto" w:fill="F1F1F1" w:themeFill="background1" w:themeFillShade="F2"/>
          </w:tcPr>
          <w:p>
            <w:pPr>
              <w:spacing w:after="0" w:line="360" w:lineRule="auto"/>
              <w:rPr>
                <w:rFonts w:ascii="仿宋_GB2312" w:hAnsi="Times New Roman" w:eastAsia="仿宋_GB2312"/>
                <w:sz w:val="24"/>
                <w:szCs w:val="24"/>
              </w:rPr>
            </w:pPr>
            <w:r>
              <w:rPr>
                <w:rFonts w:hint="eastAsia" w:ascii="仿宋_GB2312" w:hAnsi="Times New Roman" w:eastAsia="仿宋_GB2312"/>
                <w:sz w:val="24"/>
                <w:szCs w:val="24"/>
              </w:rPr>
              <w:t>借：应付账款-工程款</w:t>
            </w:r>
          </w:p>
          <w:p>
            <w:pPr>
              <w:spacing w:after="0" w:line="360" w:lineRule="auto"/>
              <w:rPr>
                <w:rFonts w:ascii="仿宋_GB2312" w:hAnsi="Times New Roman" w:eastAsia="仿宋_GB2312"/>
                <w:sz w:val="24"/>
                <w:szCs w:val="24"/>
              </w:rPr>
            </w:pPr>
            <w:r>
              <w:rPr>
                <w:rFonts w:ascii="仿宋_GB2312" w:hAnsi="Times New Roman" w:eastAsia="仿宋_GB2312"/>
                <w:sz w:val="24"/>
                <w:szCs w:val="24"/>
              </w:rPr>
              <w:t xml:space="preserve">      </w:t>
            </w:r>
            <w:r>
              <w:rPr>
                <w:rFonts w:hint="eastAsia" w:ascii="仿宋_GB2312" w:hAnsi="Times New Roman" w:eastAsia="仿宋_GB2312"/>
                <w:sz w:val="24"/>
                <w:szCs w:val="24"/>
              </w:rPr>
              <w:t>应付账款-其他</w:t>
            </w:r>
          </w:p>
          <w:p>
            <w:pPr>
              <w:spacing w:after="0" w:line="360" w:lineRule="auto"/>
              <w:rPr>
                <w:rFonts w:ascii="仿宋_GB2312" w:hAnsi="Times New Roman" w:eastAsia="仿宋_GB2312"/>
                <w:sz w:val="24"/>
                <w:szCs w:val="24"/>
              </w:rPr>
            </w:pPr>
            <w:r>
              <w:rPr>
                <w:rFonts w:hint="eastAsia" w:ascii="仿宋_GB2312" w:hAnsi="Times New Roman" w:eastAsia="仿宋_GB2312"/>
                <w:sz w:val="24"/>
                <w:szCs w:val="24"/>
              </w:rPr>
              <w:t xml:space="preserve"> </w:t>
            </w:r>
            <w:r>
              <w:rPr>
                <w:rFonts w:ascii="仿宋_GB2312" w:hAnsi="Times New Roman" w:eastAsia="仿宋_GB2312"/>
                <w:sz w:val="24"/>
                <w:szCs w:val="24"/>
              </w:rPr>
              <w:t xml:space="preserve"> </w:t>
            </w:r>
            <w:r>
              <w:rPr>
                <w:rFonts w:hint="eastAsia" w:ascii="仿宋_GB2312" w:hAnsi="Times New Roman" w:eastAsia="仿宋_GB2312"/>
                <w:sz w:val="24"/>
                <w:szCs w:val="24"/>
              </w:rPr>
              <w:t xml:space="preserve">   贷：银行存款</w:t>
            </w:r>
          </w:p>
        </w:tc>
      </w:tr>
    </w:tbl>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该会计分录的实例文档内容应为：</w:t>
      </w:r>
    </w:p>
    <w:tbl>
      <w:tblPr>
        <w:tblStyle w:val="6"/>
        <w:tblW w:w="99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Layout w:type="fixed"/>
        <w:tblCellMar>
          <w:top w:w="0" w:type="dxa"/>
          <w:left w:w="108" w:type="dxa"/>
          <w:bottom w:w="0" w:type="dxa"/>
          <w:right w:w="108" w:type="dxa"/>
        </w:tblCellMar>
      </w:tblPr>
      <w:tblGrid>
        <w:gridCol w:w="99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1F1F1" w:themeFill="background1" w:themeFillShade="F2"/>
          <w:tblCellMar>
            <w:top w:w="0" w:type="dxa"/>
            <w:left w:w="108" w:type="dxa"/>
            <w:bottom w:w="0" w:type="dxa"/>
            <w:right w:w="108" w:type="dxa"/>
          </w:tblCellMar>
        </w:tblPrEx>
        <w:trPr>
          <w:jc w:val="center"/>
        </w:trPr>
        <w:tc>
          <w:tcPr>
            <w:tcW w:w="9963" w:type="dxa"/>
            <w:shd w:val="clear" w:color="auto" w:fill="F1F1F1" w:themeFill="background1" w:themeFillShade="F2"/>
          </w:tcPr>
          <w:p>
            <w:pPr>
              <w:spacing w:after="0" w:line="360" w:lineRule="auto"/>
              <w:rPr>
                <w:rFonts w:ascii="Times New Roman" w:hAnsi="Times New Roman" w:eastAsia="仿宋_GB2312"/>
                <w:sz w:val="24"/>
                <w:szCs w:val="24"/>
              </w:rPr>
            </w:pPr>
            <w:r>
              <w:rPr>
                <w:rFonts w:ascii="Times New Roman" w:hAnsi="Times New Roman" w:eastAsia="仿宋_GB2312"/>
                <w:sz w:val="24"/>
                <w:szCs w:val="24"/>
              </w:rPr>
              <w:t>&lt;bker:InformationOfDebitAndCreditEntryTuple&gt;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&lt;bker:DebitOrCredit contextRef="c1"&gt;借方&lt;/bker:DebitOrCredit&gt;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&lt;bker:NameOfGeneralLedgerSubject contextRef="c1"&gt;应付账款&lt;/bker:NameOfGeneralLedgerSubject&gt;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&lt;bker:NameOfSubsidiaryLedgerSubject contextRef="c1"&gt;工程款&lt;/bker:NameOfSubsidiaryLedgerSubject&gt;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&lt;bker:RecordedAmount decimals="2" contextRef="c1" unitRef="u1"&gt;800000.00&lt;/bker:RecordedAmount&gt;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&lt;/bker:InformationOfDebitAndCreditEntryTuple&gt;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&lt;bker:InformationOfDebitAndCreditEntryTuple&gt;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&lt;bker:DebitOrCredit contextRef="c1"&gt;借方&lt;/bker:DebitOrCredit&gt;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&lt;bker:NameOfGeneralLedgerSubject contextRef="c1"&gt;应付账款&lt;/bker:NameOfGeneralLedgerSubject&gt;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&lt;bker:NameOfSubsidiaryLedgerSubject contextRef="c1"&gt;其他&lt;/bker:NameOfSubsidiaryLedgerSubject&gt;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&lt;bker:RecordedAmount decimals="2" contextRef="c1" unitRef="u1"&gt;200000.00&lt;/bker:RecordedAmount&gt;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&lt;/bker:InformationOfDebitAndCreditEntryTuple&gt;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&lt;bker:InformationOfDebitAndCreditEntryTuple&gt;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&lt;bker:DebitOrCredit contextRef="c1"&gt;贷方&lt;/bker:DebitOrCredit&gt;</w:t>
            </w:r>
          </w:p>
          <w:p>
            <w:pPr>
              <w:spacing w:after="0" w:line="360" w:lineRule="auto"/>
              <w:rPr>
                <w:rFonts w:ascii="Times New Roman" w:hAnsi="Times New Roman" w:eastAsia="仿宋_GB2312"/>
                <w:sz w:val="24"/>
                <w:szCs w:val="24"/>
              </w:rPr>
            </w:pPr>
            <w:r>
              <w:rPr>
                <w:rFonts w:hint="eastAsia" w:ascii="Times New Roman" w:hAnsi="Times New Roman" w:eastAsia="仿宋_GB2312"/>
                <w:sz w:val="24"/>
                <w:szCs w:val="24"/>
              </w:rPr>
              <w:t xml:space="preserve">      &lt;bker:NameOfGeneralLedgerSubject contextRef="c1"&gt;银行存款&lt;/bker:NameOfGeneralLedgerSubject&gt;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&lt;bker:RecordedAmount decimals="2" contextRef="c1" unitRef="u1"&gt;1000000.00&lt;/bker:RecordedAmount&gt;</w:t>
            </w:r>
          </w:p>
          <w:p>
            <w:pPr>
              <w:spacing w:after="0" w:line="360" w:lineRule="auto"/>
              <w:rPr>
                <w:rFonts w:ascii="Times New Roman" w:hAnsi="Times New Roman" w:eastAsia="仿宋_GB2312"/>
                <w:sz w:val="24"/>
                <w:szCs w:val="24"/>
              </w:rPr>
            </w:pPr>
            <w:r>
              <w:rPr>
                <w:rFonts w:ascii="Times New Roman" w:hAnsi="Times New Roman" w:eastAsia="仿宋_GB2312"/>
                <w:sz w:val="24"/>
                <w:szCs w:val="24"/>
              </w:rPr>
              <w:t xml:space="preserve">    &lt;/bker:InformationOfDebitAndCreditEntryTuple&gt;</w:t>
            </w:r>
          </w:p>
        </w:tc>
      </w:tr>
    </w:tbl>
    <w:p>
      <w:pPr>
        <w:pStyle w:val="10"/>
        <w:wordWrap/>
        <w:ind w:firstLine="560"/>
        <w:rPr>
          <w:rFonts w:ascii="Times New Roman" w:hAnsi="Times New Roman"/>
        </w:rPr>
      </w:pPr>
      <w:r>
        <w:rPr>
          <w:rFonts w:hint="eastAsia" w:ascii="Times New Roman" w:hAnsi="Times New Roman"/>
        </w:rPr>
        <w:t>（三）电子凭证银行回单入账归档要求</w:t>
      </w:r>
    </w:p>
    <w:p>
      <w:pPr>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企业、单位以电子凭证银行回单入账、归档的，应当按照《财政部国家档案局关于规范电子会计凭证报销入账归档的通知》（财会〔</w:t>
      </w:r>
      <w:r>
        <w:rPr>
          <w:rFonts w:ascii="Times New Roman" w:hAnsi="Times New Roman" w:eastAsia="仿宋_GB2312"/>
          <w:sz w:val="28"/>
          <w:szCs w:val="28"/>
        </w:rPr>
        <w:t>2020</w:t>
      </w:r>
      <w:r>
        <w:rPr>
          <w:rFonts w:hint="eastAsia" w:ascii="Times New Roman" w:hAnsi="Times New Roman" w:eastAsia="仿宋_GB2312"/>
          <w:sz w:val="28"/>
          <w:szCs w:val="28"/>
        </w:rPr>
        <w:t>〕</w:t>
      </w:r>
      <w:r>
        <w:rPr>
          <w:rFonts w:ascii="Times New Roman" w:hAnsi="Times New Roman" w:eastAsia="仿宋_GB2312"/>
          <w:sz w:val="28"/>
          <w:szCs w:val="28"/>
        </w:rPr>
        <w:t>6</w:t>
      </w:r>
      <w:r>
        <w:rPr>
          <w:rFonts w:hint="eastAsia" w:ascii="Times New Roman" w:hAnsi="Times New Roman" w:eastAsia="仿宋_GB2312"/>
          <w:sz w:val="28"/>
          <w:szCs w:val="28"/>
        </w:rPr>
        <w:t>号）的相关规定执行。实例文档的传输、存储安全可靠，对任何篡改能够及时发现，作为电子凭证，符合《会计档案管理办法》（财政部 国家档案局令第79号）的相关要求。</w:t>
      </w:r>
    </w:p>
    <w:p>
      <w:pPr>
        <w:pStyle w:val="10"/>
        <w:wordWrap/>
        <w:ind w:firstLine="560"/>
        <w:rPr>
          <w:rFonts w:ascii="Times New Roman" w:hAnsi="Times New Roman"/>
        </w:rPr>
      </w:pPr>
      <w:r>
        <w:rPr>
          <w:rFonts w:hint="eastAsia" w:ascii="Times New Roman" w:hAnsi="Times New Roman"/>
        </w:rPr>
        <w:t>（四）生成银行电子回单实例文档数据进行归档备查</w:t>
      </w:r>
    </w:p>
    <w:p>
      <w:pPr>
        <w:spacing w:after="0" w:line="360" w:lineRule="auto"/>
        <w:ind w:firstLine="560" w:firstLineChars="200"/>
      </w:pPr>
      <w:bookmarkStart w:id="2" w:name="_Hlk82258452"/>
      <w:r>
        <w:rPr>
          <w:rFonts w:hint="eastAsia" w:ascii="Times New Roman" w:hAnsi="Times New Roman" w:eastAsia="仿宋_GB2312"/>
          <w:sz w:val="28"/>
          <w:szCs w:val="28"/>
        </w:rPr>
        <w:t>会计期间结束后，企业、单位需按照财政部的监管要求，结合XBRL</w:t>
      </w:r>
      <w:r>
        <w:rPr>
          <w:rFonts w:hint="eastAsia" w:ascii="Times New Roman" w:hAnsi="Times New Roman" w:eastAsia="仿宋_GB2312"/>
          <w:sz w:val="28"/>
          <w:szCs w:val="28"/>
          <w:lang w:eastAsia="zh-CN"/>
        </w:rPr>
        <w:t>标准</w:t>
      </w:r>
      <w:r>
        <w:rPr>
          <w:rFonts w:hint="eastAsia" w:ascii="Times New Roman" w:hAnsi="Times New Roman" w:eastAsia="仿宋_GB2312"/>
          <w:sz w:val="28"/>
          <w:szCs w:val="28"/>
        </w:rPr>
        <w:t>，使用XBRL工具包生成包含完整电子回单信息（包括电子回单信息、回单状态信息、会计主体信息、基础会计信息）的XBRL格式实例文档，并按照会计档案管理的相关要求进行归档，以备财政部相关监管部门查验。</w:t>
      </w:r>
      <w:bookmarkEnd w:id="2"/>
    </w:p>
    <w:sectPr>
      <w:pgSz w:w="11906" w:h="16838"/>
      <w:pgMar w:top="1440" w:right="1306" w:bottom="1440" w:left="92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altName w:val="方正楷体_GBK"/>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Arial">
    <w:altName w:val="Times New Roman"/>
    <w:panose1 w:val="020B0604020202020204"/>
    <w:charset w:val="00"/>
    <w:family w:val="swiss"/>
    <w:pitch w:val="default"/>
    <w:sig w:usb0="00000000" w:usb1="00000000" w:usb2="00000009" w:usb3="00000000" w:csb0="000001FF"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7D147E"/>
    <w:multiLevelType w:val="singleLevel"/>
    <w:tmpl w:val="DF7D147E"/>
    <w:lvl w:ilvl="0" w:tentative="0">
      <w:start w:val="1"/>
      <w:numFmt w:val="chineseCounting"/>
      <w:suff w:val="nothing"/>
      <w:lvlText w:val="（%1）"/>
      <w:lvlJc w:val="left"/>
      <w:rPr>
        <w:rFonts w:hint="eastAsia"/>
      </w:rPr>
    </w:lvl>
  </w:abstractNum>
  <w:abstractNum w:abstractNumId="1">
    <w:nsid w:val="15C00B53"/>
    <w:multiLevelType w:val="multilevel"/>
    <w:tmpl w:val="15C00B53"/>
    <w:lvl w:ilvl="0" w:tentative="0">
      <w:start w:val="1"/>
      <w:numFmt w:val="japaneseCounting"/>
      <w:lvlText w:val="%1、"/>
      <w:lvlJc w:val="left"/>
      <w:pPr>
        <w:ind w:left="1280" w:hanging="720"/>
      </w:pPr>
      <w:rPr>
        <w:rFonts w:hint="default"/>
      </w:rPr>
    </w:lvl>
    <w:lvl w:ilvl="1" w:tentative="0">
      <w:start w:val="1"/>
      <w:numFmt w:val="lowerLetter"/>
      <w:lvlText w:val="%2."/>
      <w:lvlJc w:val="left"/>
      <w:pPr>
        <w:ind w:left="1640" w:hanging="360"/>
      </w:pPr>
    </w:lvl>
    <w:lvl w:ilvl="2" w:tentative="0">
      <w:start w:val="1"/>
      <w:numFmt w:val="lowerRoman"/>
      <w:lvlText w:val="%3."/>
      <w:lvlJc w:val="right"/>
      <w:pPr>
        <w:ind w:left="2360" w:hanging="180"/>
      </w:pPr>
    </w:lvl>
    <w:lvl w:ilvl="3" w:tentative="0">
      <w:start w:val="1"/>
      <w:numFmt w:val="decimal"/>
      <w:lvlText w:val="%4."/>
      <w:lvlJc w:val="left"/>
      <w:pPr>
        <w:ind w:left="3080" w:hanging="360"/>
      </w:pPr>
    </w:lvl>
    <w:lvl w:ilvl="4" w:tentative="0">
      <w:start w:val="1"/>
      <w:numFmt w:val="lowerLetter"/>
      <w:lvlText w:val="%5."/>
      <w:lvlJc w:val="left"/>
      <w:pPr>
        <w:ind w:left="3800" w:hanging="360"/>
      </w:pPr>
    </w:lvl>
    <w:lvl w:ilvl="5" w:tentative="0">
      <w:start w:val="1"/>
      <w:numFmt w:val="lowerRoman"/>
      <w:lvlText w:val="%6."/>
      <w:lvlJc w:val="right"/>
      <w:pPr>
        <w:ind w:left="4520" w:hanging="180"/>
      </w:pPr>
    </w:lvl>
    <w:lvl w:ilvl="6" w:tentative="0">
      <w:start w:val="1"/>
      <w:numFmt w:val="decimal"/>
      <w:lvlText w:val="%7."/>
      <w:lvlJc w:val="left"/>
      <w:pPr>
        <w:ind w:left="5240" w:hanging="360"/>
      </w:pPr>
    </w:lvl>
    <w:lvl w:ilvl="7" w:tentative="0">
      <w:start w:val="1"/>
      <w:numFmt w:val="lowerLetter"/>
      <w:lvlText w:val="%8."/>
      <w:lvlJc w:val="left"/>
      <w:pPr>
        <w:ind w:left="5960" w:hanging="360"/>
      </w:pPr>
    </w:lvl>
    <w:lvl w:ilvl="8" w:tentative="0">
      <w:start w:val="1"/>
      <w:numFmt w:val="lowerRoman"/>
      <w:lvlText w:val="%9."/>
      <w:lvlJc w:val="right"/>
      <w:pPr>
        <w:ind w:left="6680" w:hanging="180"/>
      </w:pPr>
    </w:lvl>
  </w:abstractNum>
  <w:abstractNum w:abstractNumId="2">
    <w:nsid w:val="35EC579A"/>
    <w:multiLevelType w:val="multilevel"/>
    <w:tmpl w:val="35EC579A"/>
    <w:lvl w:ilvl="0" w:tentative="0">
      <w:start w:val="1"/>
      <w:numFmt w:val="decimal"/>
      <w:lvlText w:val="%1)"/>
      <w:lvlJc w:val="left"/>
      <w:pPr>
        <w:ind w:left="980" w:hanging="420"/>
      </w:p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3">
    <w:nsid w:val="38CC246A"/>
    <w:multiLevelType w:val="singleLevel"/>
    <w:tmpl w:val="38CC246A"/>
    <w:lvl w:ilvl="0" w:tentative="0">
      <w:start w:val="1"/>
      <w:numFmt w:val="chineseCounting"/>
      <w:suff w:val="nothing"/>
      <w:lvlText w:val="（%1）"/>
      <w:lvlJc w:val="left"/>
      <w:rPr>
        <w:rFonts w:hint="eastAsia"/>
      </w:rPr>
    </w:lvl>
  </w:abstractNum>
  <w:abstractNum w:abstractNumId="4">
    <w:nsid w:val="3C997A23"/>
    <w:multiLevelType w:val="multilevel"/>
    <w:tmpl w:val="3C997A23"/>
    <w:lvl w:ilvl="0" w:tentative="0">
      <w:start w:val="1"/>
      <w:numFmt w:val="decimal"/>
      <w:lvlText w:val="%1)"/>
      <w:lvlJc w:val="left"/>
      <w:pPr>
        <w:ind w:left="980" w:hanging="420"/>
      </w:p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documentProtection w:enforcement="0"/>
  <w:defaultTabStop w:val="420"/>
  <w:drawingGridVerticalSpacing w:val="156"/>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7CF997B"/>
    <w:rsid w:val="0002555D"/>
    <w:rsid w:val="0004783C"/>
    <w:rsid w:val="000504A9"/>
    <w:rsid w:val="000B13F1"/>
    <w:rsid w:val="000F6F5C"/>
    <w:rsid w:val="00167D74"/>
    <w:rsid w:val="001D08A1"/>
    <w:rsid w:val="001F198B"/>
    <w:rsid w:val="0020493A"/>
    <w:rsid w:val="00271C69"/>
    <w:rsid w:val="002A39A0"/>
    <w:rsid w:val="00326D25"/>
    <w:rsid w:val="00344F65"/>
    <w:rsid w:val="0036087A"/>
    <w:rsid w:val="003649F0"/>
    <w:rsid w:val="003756A9"/>
    <w:rsid w:val="003E4FE0"/>
    <w:rsid w:val="00401566"/>
    <w:rsid w:val="00440591"/>
    <w:rsid w:val="00471C0A"/>
    <w:rsid w:val="004A7072"/>
    <w:rsid w:val="004C29B6"/>
    <w:rsid w:val="004D0682"/>
    <w:rsid w:val="00515DAB"/>
    <w:rsid w:val="00547384"/>
    <w:rsid w:val="00561DE1"/>
    <w:rsid w:val="005E1DA1"/>
    <w:rsid w:val="00677BC5"/>
    <w:rsid w:val="00736990"/>
    <w:rsid w:val="00762CD8"/>
    <w:rsid w:val="00777DBD"/>
    <w:rsid w:val="00792A3D"/>
    <w:rsid w:val="00810DF6"/>
    <w:rsid w:val="00847B8E"/>
    <w:rsid w:val="008507AF"/>
    <w:rsid w:val="008631BC"/>
    <w:rsid w:val="008E374A"/>
    <w:rsid w:val="009131A8"/>
    <w:rsid w:val="00952E7B"/>
    <w:rsid w:val="009E0CE0"/>
    <w:rsid w:val="00A11D68"/>
    <w:rsid w:val="00A65AB7"/>
    <w:rsid w:val="00AA397E"/>
    <w:rsid w:val="00AF5425"/>
    <w:rsid w:val="00B07DF5"/>
    <w:rsid w:val="00B224FB"/>
    <w:rsid w:val="00B438E8"/>
    <w:rsid w:val="00B474C1"/>
    <w:rsid w:val="00B67E68"/>
    <w:rsid w:val="00BB169C"/>
    <w:rsid w:val="00BE4505"/>
    <w:rsid w:val="00C1774F"/>
    <w:rsid w:val="00C4266C"/>
    <w:rsid w:val="00C50AE6"/>
    <w:rsid w:val="00C53679"/>
    <w:rsid w:val="00C554D2"/>
    <w:rsid w:val="00C9396B"/>
    <w:rsid w:val="00CD1D7E"/>
    <w:rsid w:val="00D3293F"/>
    <w:rsid w:val="00D51016"/>
    <w:rsid w:val="00D6090F"/>
    <w:rsid w:val="00D841E8"/>
    <w:rsid w:val="00D84576"/>
    <w:rsid w:val="00DB32FB"/>
    <w:rsid w:val="00DD6680"/>
    <w:rsid w:val="00DE73C9"/>
    <w:rsid w:val="00E52C06"/>
    <w:rsid w:val="00E9415F"/>
    <w:rsid w:val="00EA75AA"/>
    <w:rsid w:val="00EB7743"/>
    <w:rsid w:val="00ED0EBB"/>
    <w:rsid w:val="00EE0E86"/>
    <w:rsid w:val="00F31EF9"/>
    <w:rsid w:val="00F32791"/>
    <w:rsid w:val="00F72B4A"/>
    <w:rsid w:val="00F874F5"/>
    <w:rsid w:val="00FE0178"/>
    <w:rsid w:val="00FE5E87"/>
    <w:rsid w:val="00FF77EB"/>
    <w:rsid w:val="33CFFA33"/>
    <w:rsid w:val="3CDF8E6D"/>
    <w:rsid w:val="3FBF613C"/>
    <w:rsid w:val="47F6FC4E"/>
    <w:rsid w:val="77FF1386"/>
    <w:rsid w:val="7DCF891C"/>
    <w:rsid w:val="9BFE78A6"/>
    <w:rsid w:val="AB7F5192"/>
    <w:rsid w:val="BDFE9D87"/>
    <w:rsid w:val="BEDEF758"/>
    <w:rsid w:val="C7ABBBA8"/>
    <w:rsid w:val="D7CF997B"/>
    <w:rsid w:val="E79EE22F"/>
    <w:rsid w:val="F3B49BCF"/>
    <w:rsid w:val="F7754950"/>
    <w:rsid w:val="FFFF197C"/>
    <w:rsid w:val="FFFFC0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0"/>
  </w:style>
  <w:style w:type="paragraph" w:styleId="3">
    <w:name w:val="footer"/>
    <w:basedOn w:val="1"/>
    <w:link w:val="16"/>
    <w:qFormat/>
    <w:uiPriority w:val="0"/>
    <w:pPr>
      <w:tabs>
        <w:tab w:val="center" w:pos="4153"/>
        <w:tab w:val="right" w:pos="8306"/>
      </w:tabs>
      <w:snapToGrid w:val="0"/>
      <w:spacing w:line="240" w:lineRule="auto"/>
    </w:pPr>
    <w:rPr>
      <w:sz w:val="18"/>
      <w:szCs w:val="18"/>
    </w:rPr>
  </w:style>
  <w:style w:type="paragraph" w:styleId="4">
    <w:name w:val="header"/>
    <w:basedOn w:val="1"/>
    <w:link w:val="15"/>
    <w:qFormat/>
    <w:uiPriority w:val="0"/>
    <w:pPr>
      <w:pBdr>
        <w:bottom w:val="single" w:color="auto" w:sz="6" w:space="1"/>
      </w:pBdr>
      <w:tabs>
        <w:tab w:val="center" w:pos="4153"/>
        <w:tab w:val="right" w:pos="8306"/>
      </w:tabs>
      <w:snapToGrid w:val="0"/>
      <w:spacing w:line="240" w:lineRule="auto"/>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一级标题"/>
    <w:basedOn w:val="9"/>
    <w:qFormat/>
    <w:uiPriority w:val="0"/>
    <w:pPr>
      <w:wordWrap w:val="0"/>
      <w:spacing w:after="0" w:line="360" w:lineRule="auto"/>
      <w:ind w:firstLine="560"/>
      <w:outlineLvl w:val="1"/>
    </w:pPr>
    <w:rPr>
      <w:rFonts w:ascii="Times New Roman" w:hAnsi="Times New Roman" w:eastAsia="黑体" w:cs="Times New Roman"/>
      <w:sz w:val="28"/>
      <w:szCs w:val="28"/>
    </w:rPr>
  </w:style>
  <w:style w:type="paragraph" w:styleId="9">
    <w:name w:val="List Paragraph"/>
    <w:basedOn w:val="1"/>
    <w:qFormat/>
    <w:uiPriority w:val="34"/>
    <w:pPr>
      <w:ind w:firstLine="420" w:firstLineChars="200"/>
    </w:pPr>
  </w:style>
  <w:style w:type="paragraph" w:customStyle="1" w:styleId="10">
    <w:name w:val="二级标题"/>
    <w:basedOn w:val="1"/>
    <w:qFormat/>
    <w:uiPriority w:val="0"/>
    <w:pPr>
      <w:wordWrap w:val="0"/>
      <w:spacing w:after="0" w:line="360" w:lineRule="auto"/>
      <w:ind w:firstLine="562" w:firstLineChars="200"/>
      <w:outlineLvl w:val="2"/>
    </w:pPr>
    <w:rPr>
      <w:rFonts w:eastAsia="楷体_GB2312"/>
      <w:b/>
      <w:sz w:val="28"/>
      <w:szCs w:val="28"/>
    </w:rPr>
  </w:style>
  <w:style w:type="paragraph" w:customStyle="1" w:styleId="11">
    <w:name w:val="正文文档"/>
    <w:basedOn w:val="12"/>
    <w:qFormat/>
    <w:uiPriority w:val="0"/>
    <w:pPr>
      <w:wordWrap w:val="0"/>
      <w:spacing w:afterLines="0"/>
      <w:ind w:firstLine="560"/>
    </w:pPr>
  </w:style>
  <w:style w:type="paragraph" w:customStyle="1" w:styleId="12">
    <w:name w:val="ab"/>
    <w:basedOn w:val="13"/>
    <w:qFormat/>
    <w:uiPriority w:val="0"/>
    <w:pPr>
      <w:spacing w:line="360" w:lineRule="auto"/>
      <w:outlineLvl w:val="9"/>
    </w:pPr>
    <w:rPr>
      <w:rFonts w:ascii="Times New Roman" w:hAnsi="Times New Roman"/>
      <w:sz w:val="28"/>
    </w:rPr>
  </w:style>
  <w:style w:type="paragraph" w:customStyle="1" w:styleId="13">
    <w:name w:val="正文内容"/>
    <w:basedOn w:val="1"/>
    <w:qFormat/>
    <w:uiPriority w:val="0"/>
    <w:pPr>
      <w:spacing w:afterLines="100"/>
      <w:ind w:firstLine="640" w:firstLineChars="200"/>
      <w:outlineLvl w:val="1"/>
    </w:pPr>
    <w:rPr>
      <w:rFonts w:ascii="仿宋_GB2312" w:hAnsi="黑体" w:eastAsia="仿宋_GB2312" w:cs="Arial"/>
      <w:sz w:val="32"/>
      <w:szCs w:val="32"/>
    </w:rPr>
  </w:style>
  <w:style w:type="paragraph" w:customStyle="1" w:styleId="14">
    <w:name w:val="三级标题"/>
    <w:basedOn w:val="12"/>
    <w:qFormat/>
    <w:uiPriority w:val="0"/>
    <w:pPr>
      <w:wordWrap w:val="0"/>
      <w:spacing w:afterLines="0"/>
      <w:ind w:firstLine="562"/>
      <w:outlineLvl w:val="3"/>
    </w:pPr>
    <w:rPr>
      <w:b/>
    </w:rPr>
  </w:style>
  <w:style w:type="character" w:customStyle="1" w:styleId="15">
    <w:name w:val="页眉 字符"/>
    <w:basedOn w:val="7"/>
    <w:link w:val="4"/>
    <w:qFormat/>
    <w:uiPriority w:val="0"/>
    <w:rPr>
      <w:rFonts w:asciiTheme="minorHAnsi" w:hAnsiTheme="minorHAnsi" w:eastAsiaTheme="minorEastAsia" w:cstheme="minorBidi"/>
      <w:sz w:val="18"/>
      <w:szCs w:val="18"/>
    </w:rPr>
  </w:style>
  <w:style w:type="character" w:customStyle="1" w:styleId="16">
    <w:name w:val="页脚 字符"/>
    <w:basedOn w:val="7"/>
    <w:link w:val="3"/>
    <w:qFormat/>
    <w:uiPriority w:val="0"/>
    <w:rPr>
      <w:rFonts w:asciiTheme="minorHAnsi" w:hAnsiTheme="minorHAnsi" w:eastAsiaTheme="minorEastAsia" w:cstheme="minorBidi"/>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1975</Words>
  <Characters>11264</Characters>
  <Lines>93</Lines>
  <Paragraphs>26</Paragraphs>
  <TotalTime>1</TotalTime>
  <ScaleCrop>false</ScaleCrop>
  <LinksUpToDate>false</LinksUpToDate>
  <CharactersWithSpaces>13213</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2023-02-17T15:05:00Z</dcterms:created>
  <dc:creator>Admin</dc:creator>
  <cp:lastModifiedBy>Admin</cp:lastModifiedBy>
  <dcterms:modified xsi:type="dcterms:W3CDTF">2023-05-12T20:08:54Z</dcterms:modified>
  <cp:revision>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