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52"/>
          <w:szCs w:val="7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52"/>
          <w:szCs w:val="72"/>
          <w:lang w:val="en-US" w:eastAsia="zh-CN"/>
        </w:rPr>
      </w:pPr>
    </w:p>
    <w:p>
      <w:pPr>
        <w:spacing w:line="720" w:lineRule="auto"/>
        <w:jc w:val="center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电子凭证会计数据标准深化试点个性化工具包</w:t>
      </w:r>
    </w:p>
    <w:p>
      <w:pPr>
        <w:spacing w:line="720" w:lineRule="auto"/>
        <w:jc w:val="center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使用说明文档</w:t>
      </w:r>
    </w:p>
    <w:p>
      <w:pPr>
        <w:spacing w:line="720" w:lineRule="auto"/>
        <w:jc w:val="center"/>
        <w:rPr>
          <w:rFonts w:hint="default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（V1.0）</w:t>
      </w: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百望股份有限公司</w:t>
      </w: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2023年5月</w:t>
      </w: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jc w:val="center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  <w:t>前  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b/>
          <w:bCs/>
          <w:sz w:val="40"/>
          <w:szCs w:val="4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说明文档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的目标读者是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电子凭证会计数据标准深化试点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接收端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试点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单位的技术人员，用于了解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通过使用本工具包来对符合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电子凭证会计数据标准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的电子凭证进行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验签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、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解析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、转换等操作。接收端试点单位的会计信息系统可通过集成本个性化工具包来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降低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深化试点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技术难度和实施成本。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作为深化试点服务保障单位，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您在使用本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工具包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过程中有相关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疑问，请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您联系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联系人：冯辉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联系电话：18618133635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邮箱：fenghui@baiwang.com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>
      <w:pPr>
        <w:jc w:val="center"/>
        <w:rPr>
          <w:rFonts w:hint="eastAsia" w:ascii="仿宋_GB2312" w:hAnsi="仿宋_GB2312" w:eastAsia="仿宋_GB2312" w:cs="仿宋_GB2312"/>
          <w:b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文档修订</w:t>
      </w:r>
      <w:r>
        <w:rPr>
          <w:rFonts w:hint="eastAsia" w:ascii="仿宋_GB2312" w:hAnsi="仿宋_GB2312" w:eastAsia="仿宋_GB2312" w:cs="仿宋_GB2312"/>
          <w:b/>
          <w:sz w:val="32"/>
          <w:szCs w:val="32"/>
          <w:lang w:val="en-US" w:eastAsia="zh-CN"/>
        </w:rPr>
        <w:t>记录</w:t>
      </w:r>
    </w:p>
    <w:p>
      <w:pPr>
        <w:rPr>
          <w:rFonts w:hint="eastAsia" w:ascii="仿宋_GB2312" w:hAnsi="仿宋_GB2312" w:eastAsia="仿宋_GB2312" w:cs="仿宋_GB2312"/>
          <w:b/>
          <w:sz w:val="32"/>
          <w:szCs w:val="32"/>
        </w:rPr>
      </w:pPr>
    </w:p>
    <w:tbl>
      <w:tblPr>
        <w:tblStyle w:val="4"/>
        <w:tblW w:w="860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1"/>
        <w:gridCol w:w="1200"/>
        <w:gridCol w:w="3897"/>
        <w:gridCol w:w="1077"/>
        <w:gridCol w:w="97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7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日期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修订号</w:t>
            </w:r>
          </w:p>
        </w:tc>
        <w:tc>
          <w:tcPr>
            <w:tcW w:w="389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描述</w:t>
            </w: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val="en-US" w:eastAsia="zh-CN"/>
              </w:rPr>
              <w:t>编写人</w:t>
            </w: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审</w:t>
            </w: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  <w:lang w:val="en-US" w:eastAsia="zh-CN"/>
              </w:rPr>
              <w:t>核人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202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-0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-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1.0</w:t>
            </w: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建立本文档</w:t>
            </w: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田淮舟</w:t>
            </w: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姬璐璐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9" w:hRule="atLeast"/>
          <w:jc w:val="center"/>
        </w:trPr>
        <w:tc>
          <w:tcPr>
            <w:tcW w:w="1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200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3897" w:type="dxa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977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</w:tbl>
    <w:p>
      <w:pP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工具包使用方法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安装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803" w:leftChars="0" w:firstLine="0" w:firstLineChars="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467995</wp:posOffset>
            </wp:positionH>
            <wp:positionV relativeFrom="paragraph">
              <wp:posOffset>64770</wp:posOffset>
            </wp:positionV>
            <wp:extent cx="5268595" cy="3608705"/>
            <wp:effectExtent l="0" t="0" r="1905" b="1079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0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双击百望云电子凭证服务平台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803" w:leftChars="0" w:firstLine="0" w:firstLineChars="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登录百望云电子凭证服务平台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803" w:leftChars="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481965</wp:posOffset>
            </wp:positionH>
            <wp:positionV relativeFrom="paragraph">
              <wp:posOffset>127000</wp:posOffset>
            </wp:positionV>
            <wp:extent cx="5266690" cy="2836545"/>
            <wp:effectExtent l="0" t="0" r="3810" b="825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实例文档提取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1、上传实例文档（支持数字化电子发票（XML格式）、财政电子票据、增值税电子普通发票（国家电网开具）、增值税电子专用发票（国家电网开具）、铁路电子客票、航空运输电子客票行程单、电子非税收入一般缴款书、银行电子回单、银行电子对账单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操作步骤：</w:t>
      </w:r>
    </w:p>
    <w:p>
      <w:pPr>
        <w:pStyle w:val="2"/>
        <w:numPr>
          <w:numId w:val="0"/>
        </w:numPr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1）点击【提取实例】弹出抽屉；</w:t>
      </w:r>
    </w:p>
    <w:p>
      <w:pPr>
        <w:pStyle w:val="2"/>
        <w:numPr>
          <w:numId w:val="0"/>
        </w:numPr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2）点击【上传文件】，唤起系统文件选择器，选择一个或多个开具方生成的电子凭证文件（铁路电子客票、航空电子客票行程单、增值税电子普通发票、增值税电子专用发票、银行回单、一般缴款书）进行上传；</w:t>
      </w:r>
    </w:p>
    <w:p>
      <w:pPr>
        <w:pStyle w:val="2"/>
        <w:numPr>
          <w:numId w:val="0"/>
        </w:numPr>
        <w:ind w:leftChars="0"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3）上传成功后在下方列表显示文件上传结果列表；</w:t>
      </w:r>
    </w:p>
    <w:p>
      <w:pPr>
        <w:pStyle w:val="2"/>
        <w:numPr>
          <w:numId w:val="0"/>
        </w:numPr>
        <w:ind w:leftChars="0" w:firstLine="643" w:firstLineChars="20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4）输入【批次号】，选择【所属机构】；</w:t>
      </w:r>
    </w:p>
    <w:p>
      <w:pPr>
        <w:pStyle w:val="2"/>
        <w:ind w:firstLine="643" w:firstLineChars="20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5）点击【提取】后，提取的文件加载到列表数据中并对上传的文档进行验签、解析实例操作；验签、解析通过队列异步实现；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238125</wp:posOffset>
            </wp:positionV>
            <wp:extent cx="5266690" cy="2836545"/>
            <wp:effectExtent l="0" t="0" r="3810" b="825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2、实例文档验签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firstLine="321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提取的实例文档在列表项目中可以查询，验签状态、提取状态、实例状态等。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35560</wp:posOffset>
            </wp:positionH>
            <wp:positionV relativeFrom="paragraph">
              <wp:posOffset>172720</wp:posOffset>
            </wp:positionV>
            <wp:extent cx="5272405" cy="1520190"/>
            <wp:effectExtent l="0" t="0" r="10795" b="381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2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3、实例文档解析下载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 xml:space="preserve">  对提取的实例文档下载解析后的xbrl文件进行下载。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 xml:space="preserve">  下载：下载实例文档/原始凭证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 xml:space="preserve">  批量下载实例文档:批量下载实例文档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 xml:space="preserve">  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批量下载原始凭证:批量下载原始凭证</w:t>
      </w:r>
    </w:p>
    <w:p>
      <w:pPr>
        <w:rPr>
          <w:rFonts w:hint="default" w:cs="Times New Roman"/>
          <w:sz w:val="24"/>
          <w:szCs w:val="24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pStyle w:val="3"/>
        <w:numPr>
          <w:numId w:val="0"/>
        </w:numPr>
        <w:bidi w:val="0"/>
        <w:ind w:leftChars="0"/>
        <w:rPr>
          <w:rFonts w:hint="default" w:cs="Times New Roman"/>
          <w:sz w:val="28"/>
          <w:szCs w:val="28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99695</wp:posOffset>
            </wp:positionH>
            <wp:positionV relativeFrom="paragraph">
              <wp:posOffset>159385</wp:posOffset>
            </wp:positionV>
            <wp:extent cx="5265420" cy="1988820"/>
            <wp:effectExtent l="0" t="0" r="5080" b="508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 xml:space="preserve">  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对增值税电子普通发票（国家电网开具）、增值税电子专用发票（国家电网开具）、铁路电子客票、航空运输电子客票行程单、电子非税收入一般缴款书、银行电子回单进行入账。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1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针对单个原始凭证发起入账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1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入账操作：在列表数据中单条记录中可以进行【入账】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210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444500</wp:posOffset>
            </wp:positionH>
            <wp:positionV relativeFrom="paragraph">
              <wp:posOffset>297815</wp:posOffset>
            </wp:positionV>
            <wp:extent cx="5262880" cy="2444115"/>
            <wp:effectExtent l="0" t="0" r="7620" b="6985"/>
            <wp:wrapTopAndBottom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备注：已入账状态的原始凭证不可操作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0" w:firstLineChars="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批量入账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1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一次性对多个实例文档发起入账信息填写并入账，每份实例文档对应一份入账信息；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1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入账操作：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1" w:firstLineChars="1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1）勾选列表数据中单条或多条数据，点击【批量入账】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321" w:firstLineChars="1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2）点击【批量入账】打开操作弹窗，勾选入账文件</w:t>
      </w:r>
    </w:p>
    <w:p>
      <w:pPr>
        <w:pStyle w:val="2"/>
        <w:rPr>
          <w:rFonts w:hint="eastAsia" w:ascii="Calibri" w:hAnsi="Calibri" w:eastAsia="宋体" w:cs="Arial"/>
          <w:kern w:val="2"/>
          <w:sz w:val="28"/>
          <w:szCs w:val="28"/>
          <w:lang w:val="en-US" w:eastAsia="zh-CN" w:bidi="ar-SA"/>
        </w:rPr>
      </w:pPr>
      <w:r>
        <w:rPr>
          <w:rFonts w:hint="eastAsia" w:ascii="Calibri" w:hAnsi="Calibri" w:eastAsia="宋体" w:cs="Arial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5266055" cy="3120390"/>
            <wp:effectExtent l="0" t="0" r="4445" b="3810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12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643" w:firstLineChars="20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3）填写入账信息，进行【确定】</w:t>
      </w:r>
    </w:p>
    <w:p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4422140" cy="2587625"/>
            <wp:effectExtent l="0" t="0" r="10160" b="3175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22140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备注：</w:t>
      </w:r>
    </w:p>
    <w:p>
      <w:pPr>
        <w:pStyle w:val="2"/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已入账状态的原始凭证不可操作；</w:t>
      </w:r>
    </w:p>
    <w:p>
      <w:pPr>
        <w:pStyle w:val="2"/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只能选择同类型数据进行批量入账；</w:t>
      </w:r>
    </w:p>
    <w:p>
      <w:pPr>
        <w:pStyle w:val="2"/>
        <w:numPr>
          <w:ilvl w:val="0"/>
          <w:numId w:val="5"/>
        </w:numPr>
        <w:ind w:left="420" w:leftChars="0" w:firstLine="0" w:firstLineChars="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合并入账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100" w:beforeAutospacing="1" w:after="100" w:afterAutospacing="1"/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对多个实例文档维护一份入账信息和各自实例文档对信息；</w:t>
      </w:r>
    </w:p>
    <w:p>
      <w:pP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入账操作：</w:t>
      </w:r>
    </w:p>
    <w:p>
      <w:pPr>
        <w:numPr>
          <w:numId w:val="0"/>
        </w:numPr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1）勾选列表数据中单条或多条数据，点击【合并入账】</w:t>
      </w:r>
    </w:p>
    <w:p>
      <w:pPr>
        <w:pStyle w:val="2"/>
        <w:ind w:firstLine="643" w:firstLineChars="200"/>
        <w:rPr>
          <w:rFonts w:hint="eastAsia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2）点击【合并入账】打开操作弹窗，勾选入账文件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266690" cy="3115945"/>
            <wp:effectExtent l="0" t="0" r="3810" b="8255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643" w:firstLineChars="20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3）填写入账信息，进行【确定】</w:t>
      </w:r>
    </w:p>
    <w:p>
      <w:pPr>
        <w:pStyle w:val="2"/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5271770" cy="4168775"/>
            <wp:effectExtent l="0" t="0" r="11430" b="9525"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6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备注：</w:t>
      </w:r>
    </w:p>
    <w:p>
      <w:pPr>
        <w:pStyle w:val="2"/>
        <w:ind w:firstLine="643" w:firstLineChars="200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已入账状态的原始凭证不可操作；</w:t>
      </w:r>
    </w:p>
    <w:p>
      <w:pPr>
        <w:pStyle w:val="2"/>
        <w:ind w:firstLine="643" w:firstLineChars="20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可以选择不同类型数据进行合并入账；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0" w:leftChars="0" w:firstLine="420" w:firstLineChars="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归档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入账后的电子普通发票（国家电网开具）、增值税电子专用发票（国家电网开具）、铁路电子客票、航空运输电子客票行程单、电子非税收入一般缴款书、银行电子回单自动归档。展示入账结果数据，支持原始凭证、入账凭证相关文件下载、预览、删除操作；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029460"/>
            <wp:effectExtent l="0" t="0" r="8890" b="2540"/>
            <wp:docPr id="2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ind w:left="420" w:leftChars="0" w:firstLine="0" w:firstLineChars="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删除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允许删除归档文件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删除操作：在列表数据中单条记录中可以进行【操作】-【删除】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备注：归档文件删除后，实例文档的入账状态，更新为【未入账】</w:t>
      </w:r>
    </w:p>
    <w:p>
      <w:pPr>
        <w:pStyle w:val="2"/>
        <w:numPr>
          <w:ilvl w:val="0"/>
          <w:numId w:val="6"/>
        </w:numPr>
        <w:ind w:left="420" w:leftChars="0" w:firstLine="0" w:firstLineChars="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下载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打包下载入账版式文件/报送文件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下载操作：在列表数据中单条记录中可以进行【操作】-【下载】</w:t>
      </w:r>
    </w:p>
    <w:p>
      <w:pPr>
        <w:pStyle w:val="2"/>
        <w:numPr>
          <w:ilvl w:val="0"/>
          <w:numId w:val="6"/>
        </w:numPr>
        <w:ind w:left="420" w:leftChars="0" w:firstLine="0" w:firstLineChars="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批量下载入账版式文件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批量下载入账版式文件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下载实例文档操作：勾选列表数据中单条或多条数据，点击【载入账版式文件】</w:t>
      </w:r>
    </w:p>
    <w:p>
      <w:pPr>
        <w:pStyle w:val="2"/>
        <w:numPr>
          <w:ilvl w:val="0"/>
          <w:numId w:val="6"/>
        </w:numPr>
        <w:ind w:left="420" w:leftChars="0" w:firstLine="0" w:firstLineChars="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批量下载报送文件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批量下载报送文件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下载原始凭证操作：勾选列表数据中单条或多条数据，点击【批量下载报送文件】</w:t>
      </w:r>
    </w:p>
    <w:p>
      <w:pPr>
        <w:pStyle w:val="2"/>
        <w:numPr>
          <w:ilvl w:val="0"/>
          <w:numId w:val="6"/>
        </w:numPr>
        <w:ind w:left="420" w:leftChars="0" w:firstLine="0" w:firstLineChars="0"/>
        <w:rPr>
          <w:rFonts w:hint="default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lang w:val="en-US" w:eastAsia="zh-CN" w:bidi="ar-SA"/>
        </w:rPr>
        <w:t>预览原始凭证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预览入账版式文件，示例如下图：</w:t>
      </w:r>
    </w:p>
    <w:p>
      <w:pPr>
        <w:pStyle w:val="7"/>
        <w:keepNext w:val="0"/>
        <w:keepLines w:val="0"/>
        <w:widowControl/>
        <w:suppressLineNumbers w:val="0"/>
        <w:rPr>
          <w:rFonts w:hint="eastAsia" w:ascii="Calibri" w:hAnsi="Calibri" w:eastAsia="宋体" w:cs="Times New Roman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269865" cy="2268855"/>
            <wp:effectExtent l="0" t="0" r="635" b="4445"/>
            <wp:docPr id="2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预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览原始凭证操作：在列表数据中单条记录中可以进行【查看】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88" w:lineRule="exact"/>
        <w:ind w:left="420" w:leftChars="0" w:firstLine="643" w:firstLineChars="200"/>
        <w:jc w:val="both"/>
        <w:textAlignment w:val="auto"/>
        <w:rPr>
          <w:rFonts w:hint="default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FBF0A4D"/>
    <w:multiLevelType w:val="singleLevel"/>
    <w:tmpl w:val="AFBF0A4D"/>
    <w:lvl w:ilvl="0" w:tentative="0">
      <w:start w:val="1"/>
      <w:numFmt w:val="decimal"/>
      <w:suff w:val="nothing"/>
      <w:lvlText w:val="%1）"/>
      <w:lvlJc w:val="left"/>
    </w:lvl>
  </w:abstractNum>
  <w:abstractNum w:abstractNumId="1">
    <w:nsid w:val="B049F8B6"/>
    <w:multiLevelType w:val="singleLevel"/>
    <w:tmpl w:val="B049F8B6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2">
    <w:nsid w:val="DA5E5CFA"/>
    <w:multiLevelType w:val="singleLevel"/>
    <w:tmpl w:val="DA5E5CFA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195EDDDA"/>
    <w:multiLevelType w:val="multilevel"/>
    <w:tmpl w:val="195EDDDA"/>
    <w:lvl w:ilvl="0" w:tentative="0">
      <w:start w:val="1"/>
      <w:numFmt w:val="decimal"/>
      <w:suff w:val="space"/>
      <w:lvlText w:val="%1  "/>
      <w:lvlJc w:val="left"/>
      <w:pPr>
        <w:tabs>
          <w:tab w:val="left" w:pos="1701"/>
        </w:tabs>
        <w:ind w:left="425" w:hanging="425"/>
      </w:pPr>
      <w:rPr>
        <w:rFonts w:hint="default" w:ascii="宋体" w:hAnsi="宋体" w:eastAsia="宋体" w:cs="宋体"/>
      </w:rPr>
    </w:lvl>
    <w:lvl w:ilvl="1" w:tentative="0">
      <w:start w:val="1"/>
      <w:numFmt w:val="decimal"/>
      <w:suff w:val="space"/>
      <w:lvlText w:val="%1.%2  "/>
      <w:lvlJc w:val="left"/>
      <w:pPr>
        <w:tabs>
          <w:tab w:val="left" w:pos="0"/>
        </w:tabs>
        <w:ind w:left="567" w:hanging="567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3"/>
      <w:suff w:val="space"/>
      <w:lvlText w:val="%1.%2.%3  "/>
      <w:lvlJc w:val="left"/>
      <w:pPr>
        <w:tabs>
          <w:tab w:val="left" w:pos="1701"/>
        </w:tabs>
        <w:ind w:left="709" w:hanging="709"/>
      </w:pPr>
      <w:rPr>
        <w:rFonts w:hint="default" w:ascii="宋体" w:hAnsi="宋体" w:eastAsia="宋体" w:cs="宋体"/>
      </w:rPr>
    </w:lvl>
    <w:lvl w:ilvl="3" w:tentative="0">
      <w:start w:val="1"/>
      <w:numFmt w:val="decimal"/>
      <w:suff w:val="space"/>
      <w:lvlText w:val="%1.%2.%3.%4  "/>
      <w:lvlJc w:val="left"/>
      <w:pPr>
        <w:tabs>
          <w:tab w:val="left" w:pos="420"/>
        </w:tabs>
        <w:ind w:left="850" w:hanging="85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  "/>
      <w:lvlJc w:val="left"/>
      <w:pPr>
        <w:tabs>
          <w:tab w:val="left" w:pos="0"/>
        </w:tabs>
        <w:ind w:left="992" w:leftChars="0" w:hanging="992" w:firstLineChars="0"/>
      </w:pPr>
      <w:rPr>
        <w:rFonts w:hint="default" w:ascii="黑体" w:hAnsi="黑体" w:eastAsia="黑体" w:cs="黑体"/>
        <w:sz w:val="24"/>
        <w:szCs w:val="24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4">
    <w:nsid w:val="5E9FC21B"/>
    <w:multiLevelType w:val="singleLevel"/>
    <w:tmpl w:val="5E9FC21B"/>
    <w:lvl w:ilvl="0" w:tentative="0">
      <w:start w:val="1"/>
      <w:numFmt w:val="decimal"/>
      <w:suff w:val="nothing"/>
      <w:lvlText w:val="%1）"/>
      <w:lvlJc w:val="left"/>
      <w:pPr>
        <w:ind w:left="803" w:leftChars="0" w:firstLine="0" w:firstLineChars="0"/>
      </w:pPr>
    </w:lvl>
  </w:abstractNum>
  <w:abstractNum w:abstractNumId="5">
    <w:nsid w:val="7C983043"/>
    <w:multiLevelType w:val="singleLevel"/>
    <w:tmpl w:val="7C98304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c2NWM5ZDcyY2ZkN2IwNWMwZDU0NzNiOWNjZDdlYmQifQ=="/>
  </w:docVars>
  <w:rsids>
    <w:rsidRoot w:val="791525FE"/>
    <w:rsid w:val="00E54D24"/>
    <w:rsid w:val="08586ADF"/>
    <w:rsid w:val="0CEC6736"/>
    <w:rsid w:val="0E5723AE"/>
    <w:rsid w:val="107517B6"/>
    <w:rsid w:val="12A54B95"/>
    <w:rsid w:val="134D0507"/>
    <w:rsid w:val="158D57C5"/>
    <w:rsid w:val="15B80CB3"/>
    <w:rsid w:val="18572FF5"/>
    <w:rsid w:val="1A3D3119"/>
    <w:rsid w:val="1B8151F1"/>
    <w:rsid w:val="1BD143CB"/>
    <w:rsid w:val="1DE93925"/>
    <w:rsid w:val="1FF029B3"/>
    <w:rsid w:val="24630A91"/>
    <w:rsid w:val="25EC2D52"/>
    <w:rsid w:val="2A24305C"/>
    <w:rsid w:val="2EBA3D06"/>
    <w:rsid w:val="329F0927"/>
    <w:rsid w:val="339064C2"/>
    <w:rsid w:val="34C70EC6"/>
    <w:rsid w:val="38500809"/>
    <w:rsid w:val="38E47094"/>
    <w:rsid w:val="3D4445A5"/>
    <w:rsid w:val="3D476308"/>
    <w:rsid w:val="3E7C31F6"/>
    <w:rsid w:val="3F3B19D7"/>
    <w:rsid w:val="41E225DE"/>
    <w:rsid w:val="43A062AD"/>
    <w:rsid w:val="481D4186"/>
    <w:rsid w:val="495B1069"/>
    <w:rsid w:val="4C3572FF"/>
    <w:rsid w:val="4E524648"/>
    <w:rsid w:val="4EF85C31"/>
    <w:rsid w:val="4F5A37B4"/>
    <w:rsid w:val="4F7B197C"/>
    <w:rsid w:val="4F844CD5"/>
    <w:rsid w:val="4FE13ED5"/>
    <w:rsid w:val="50890FCA"/>
    <w:rsid w:val="52EF6909"/>
    <w:rsid w:val="531225F7"/>
    <w:rsid w:val="55735625"/>
    <w:rsid w:val="58903403"/>
    <w:rsid w:val="5DBB3FB7"/>
    <w:rsid w:val="5F9E593F"/>
    <w:rsid w:val="6008100A"/>
    <w:rsid w:val="606A75CF"/>
    <w:rsid w:val="62977B91"/>
    <w:rsid w:val="62FA10ED"/>
    <w:rsid w:val="63021D41"/>
    <w:rsid w:val="655538DF"/>
    <w:rsid w:val="65BF660F"/>
    <w:rsid w:val="65D774B5"/>
    <w:rsid w:val="66874CF1"/>
    <w:rsid w:val="67D068B1"/>
    <w:rsid w:val="689B5EC2"/>
    <w:rsid w:val="6C0C3C30"/>
    <w:rsid w:val="6D6C5409"/>
    <w:rsid w:val="70830C46"/>
    <w:rsid w:val="72C74D55"/>
    <w:rsid w:val="77BC17CF"/>
    <w:rsid w:val="7810199E"/>
    <w:rsid w:val="791525FE"/>
    <w:rsid w:val="7C7E55E8"/>
    <w:rsid w:val="7C800E24"/>
    <w:rsid w:val="7D303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3"/>
    <w:basedOn w:val="1"/>
    <w:next w:val="1"/>
    <w:semiHidden/>
    <w:unhideWhenUsed/>
    <w:qFormat/>
    <w:uiPriority w:val="0"/>
    <w:pPr>
      <w:keepNext/>
      <w:keepLines/>
      <w:numPr>
        <w:ilvl w:val="2"/>
        <w:numId w:val="1"/>
      </w:numPr>
      <w:tabs>
        <w:tab w:val="left" w:pos="1134"/>
        <w:tab w:val="left" w:pos="2268"/>
        <w:tab w:val="left" w:pos="2551"/>
        <w:tab w:val="left" w:pos="3402"/>
      </w:tabs>
      <w:ind w:left="709" w:hanging="709"/>
      <w:jc w:val="left"/>
      <w:outlineLvl w:val="2"/>
    </w:pPr>
    <w:rPr>
      <w:rFonts w:ascii="宋体" w:hAnsi="宋体" w:eastAsia="黑体" w:cs="Times New Roman"/>
      <w:sz w:val="24"/>
      <w:szCs w:val="32"/>
      <w:lang w:val="zh-CN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paragraph" w:customStyle="1" w:styleId="7">
    <w:name w:val="普通(网站) Char"/>
    <w:basedOn w:val="1"/>
    <w:uiPriority w:val="0"/>
    <w:pPr>
      <w:spacing w:before="100" w:beforeAutospacing="1" w:after="100" w:afterAutospacing="1"/>
      <w:ind w:left="0" w:right="0"/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1491</Words>
  <Characters>1541</Characters>
  <Lines>0</Lines>
  <Paragraphs>0</Paragraphs>
  <TotalTime>0</TotalTime>
  <ScaleCrop>false</ScaleCrop>
  <LinksUpToDate>false</LinksUpToDate>
  <CharactersWithSpaces>1547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2023-05-09T14:50:00Z</dcterms:created>
  <dc:creator>Lee</dc:creator>
  <cp:lastModifiedBy>。</cp:lastModifiedBy>
  <dcterms:modified xsi:type="dcterms:W3CDTF">2023-05-11T11:48:49Z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2502A43296C64FE1B6DC116E51D9E016_11</vt:lpwstr>
  </property>
</Properties>
</file>