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80" w:lineRule="exact"/>
        <w:jc w:val="left"/>
        <w:rPr>
          <w:rFonts w:ascii="黑体" w:hAnsi="黑体" w:eastAsia="黑体"/>
          <w:sz w:val="32"/>
          <w:szCs w:val="32"/>
        </w:rPr>
      </w:pPr>
      <w:r>
        <w:rPr>
          <w:rFonts w:hint="eastAsia" w:ascii="黑体" w:hAnsi="黑体" w:eastAsia="黑体"/>
          <w:sz w:val="32"/>
          <w:szCs w:val="32"/>
        </w:rPr>
        <w:t>附件2</w:t>
      </w:r>
    </w:p>
    <w:p>
      <w:pPr>
        <w:spacing w:beforeLines="100"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行政事业单位会计基础工作规范化建设</w:t>
      </w:r>
    </w:p>
    <w:p>
      <w:pPr>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自评表</w:t>
      </w:r>
    </w:p>
    <w:p>
      <w:pPr>
        <w:spacing w:line="580" w:lineRule="exact"/>
        <w:rPr>
          <w:rFonts w:ascii="仿宋_GB2312" w:hAnsi="黑体" w:eastAsia="仿宋_GB2312"/>
          <w:sz w:val="32"/>
          <w:szCs w:val="32"/>
        </w:rPr>
      </w:pPr>
    </w:p>
    <w:p>
      <w:pPr>
        <w:spacing w:line="600" w:lineRule="exact"/>
        <w:rPr>
          <w:rFonts w:ascii="仿宋_GB2312" w:hAnsi="黑体" w:eastAsia="仿宋_GB2312"/>
          <w:sz w:val="32"/>
          <w:szCs w:val="32"/>
        </w:rPr>
      </w:pPr>
      <w:r>
        <w:rPr>
          <w:rFonts w:hint="eastAsia" w:ascii="仿宋_GB2312" w:hAnsi="黑体" w:eastAsia="仿宋_GB2312"/>
          <w:sz w:val="32"/>
          <w:szCs w:val="32"/>
        </w:rPr>
        <w:t>单位名称（公章）：</w:t>
      </w:r>
    </w:p>
    <w:tbl>
      <w:tblPr>
        <w:tblStyle w:val="7"/>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95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817" w:type="dxa"/>
            <w:vAlign w:val="center"/>
          </w:tcPr>
          <w:p>
            <w:pPr>
              <w:overflowPunct w:val="0"/>
              <w:spacing w:line="320" w:lineRule="exact"/>
              <w:jc w:val="center"/>
              <w:rPr>
                <w:rFonts w:ascii="黑体" w:hAnsi="黑体" w:eastAsia="黑体"/>
                <w:sz w:val="24"/>
              </w:rPr>
            </w:pPr>
            <w:r>
              <w:rPr>
                <w:rFonts w:hint="eastAsia" w:ascii="黑体" w:hAnsi="黑体" w:eastAsia="黑体"/>
                <w:sz w:val="24"/>
              </w:rPr>
              <w:t>序号</w:t>
            </w:r>
          </w:p>
        </w:tc>
        <w:tc>
          <w:tcPr>
            <w:tcW w:w="1559" w:type="dxa"/>
            <w:vAlign w:val="center"/>
          </w:tcPr>
          <w:p>
            <w:pPr>
              <w:overflowPunct w:val="0"/>
              <w:spacing w:line="320" w:lineRule="exact"/>
              <w:jc w:val="center"/>
              <w:rPr>
                <w:rFonts w:ascii="黑体" w:hAnsi="黑体" w:eastAsia="黑体"/>
                <w:sz w:val="24"/>
              </w:rPr>
            </w:pPr>
            <w:r>
              <w:rPr>
                <w:rFonts w:hint="eastAsia" w:ascii="黑体" w:hAnsi="黑体" w:eastAsia="黑体"/>
                <w:sz w:val="24"/>
              </w:rPr>
              <w:t>任务（分值）</w:t>
            </w:r>
          </w:p>
        </w:tc>
        <w:tc>
          <w:tcPr>
            <w:tcW w:w="5954" w:type="dxa"/>
            <w:vAlign w:val="center"/>
          </w:tcPr>
          <w:p>
            <w:pPr>
              <w:overflowPunct w:val="0"/>
              <w:spacing w:line="320" w:lineRule="exact"/>
              <w:jc w:val="center"/>
              <w:rPr>
                <w:rFonts w:ascii="黑体" w:hAnsi="黑体" w:eastAsia="黑体"/>
                <w:sz w:val="24"/>
              </w:rPr>
            </w:pPr>
            <w:r>
              <w:rPr>
                <w:rFonts w:hint="eastAsia" w:ascii="黑体" w:hAnsi="黑体" w:eastAsia="黑体"/>
                <w:sz w:val="24"/>
              </w:rPr>
              <w:t>评分说明</w:t>
            </w:r>
          </w:p>
        </w:tc>
        <w:tc>
          <w:tcPr>
            <w:tcW w:w="850" w:type="dxa"/>
            <w:vAlign w:val="center"/>
          </w:tcPr>
          <w:p>
            <w:pPr>
              <w:spacing w:line="300" w:lineRule="exact"/>
              <w:jc w:val="center"/>
              <w:rPr>
                <w:rFonts w:ascii="黑体" w:hAnsi="黑体" w:eastAsia="黑体"/>
                <w:sz w:val="24"/>
              </w:rPr>
            </w:pPr>
            <w:r>
              <w:rPr>
                <w:rFonts w:hint="eastAsia" w:ascii="黑体" w:hAnsi="黑体" w:eastAsia="黑体"/>
                <w:sz w:val="24"/>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1</w:t>
            </w:r>
          </w:p>
        </w:tc>
        <w:tc>
          <w:tcPr>
            <w:tcW w:w="1559"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规范设置</w:t>
            </w:r>
          </w:p>
          <w:p>
            <w:pPr>
              <w:overflowPunct w:val="0"/>
              <w:spacing w:line="320" w:lineRule="exact"/>
              <w:jc w:val="center"/>
              <w:rPr>
                <w:rFonts w:ascii="宋体" w:hAnsi="宋体" w:eastAsia="宋体"/>
                <w:sz w:val="20"/>
                <w:szCs w:val="20"/>
              </w:rPr>
            </w:pPr>
            <w:r>
              <w:rPr>
                <w:rFonts w:hint="eastAsia" w:ascii="宋体" w:hAnsi="宋体" w:eastAsia="宋体"/>
                <w:sz w:val="20"/>
                <w:szCs w:val="20"/>
              </w:rPr>
              <w:t>会计机构</w:t>
            </w:r>
          </w:p>
          <w:p>
            <w:pPr>
              <w:overflowPunct w:val="0"/>
              <w:spacing w:line="320" w:lineRule="exact"/>
              <w:jc w:val="center"/>
              <w:rPr>
                <w:rFonts w:ascii="宋体" w:hAnsi="宋体" w:eastAsia="宋体"/>
                <w:sz w:val="20"/>
                <w:szCs w:val="20"/>
              </w:rPr>
            </w:pPr>
            <w:r>
              <w:rPr>
                <w:rFonts w:hint="eastAsia" w:ascii="宋体" w:hAnsi="宋体" w:eastAsia="宋体"/>
                <w:sz w:val="20"/>
                <w:szCs w:val="20"/>
              </w:rPr>
              <w:t>（5分）</w:t>
            </w:r>
          </w:p>
        </w:tc>
        <w:tc>
          <w:tcPr>
            <w:tcW w:w="5954" w:type="dxa"/>
            <w:vAlign w:val="top"/>
          </w:tcPr>
          <w:p>
            <w:pPr>
              <w:overflowPunct w:val="0"/>
              <w:spacing w:line="320" w:lineRule="exact"/>
              <w:jc w:val="left"/>
              <w:rPr>
                <w:rFonts w:ascii="宋体" w:hAnsi="宋体" w:eastAsia="宋体"/>
                <w:sz w:val="20"/>
                <w:szCs w:val="20"/>
              </w:rPr>
            </w:pPr>
            <w:r>
              <w:rPr>
                <w:rFonts w:hint="eastAsia" w:ascii="宋体" w:hAnsi="宋体" w:eastAsia="宋体"/>
                <w:sz w:val="20"/>
                <w:szCs w:val="20"/>
              </w:rPr>
              <w:t>单独设置会计机构，且配备会计机构负责人的，得3分；单独设置会计机构，未配备会计机构负责人的，得2分；否则不得分。</w:t>
            </w:r>
          </w:p>
          <w:p>
            <w:pPr>
              <w:overflowPunct w:val="0"/>
              <w:spacing w:line="320" w:lineRule="exact"/>
              <w:jc w:val="left"/>
              <w:rPr>
                <w:rFonts w:ascii="宋体" w:hAnsi="宋体" w:eastAsia="宋体"/>
                <w:sz w:val="20"/>
                <w:szCs w:val="20"/>
              </w:rPr>
            </w:pPr>
            <w:r>
              <w:rPr>
                <w:rFonts w:hint="eastAsia" w:ascii="宋体" w:hAnsi="宋体" w:eastAsia="宋体"/>
                <w:sz w:val="20"/>
                <w:szCs w:val="20"/>
              </w:rPr>
              <w:t>不具备单独设置会计机构条件，但在有关机构中配备专职会计人员并指定会计主管人员的，得3分；不具备单独设置会计机构条件，在有关机构中配备专职会计人员，但未指定会计主管人员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top"/>
          </w:tcPr>
          <w:p>
            <w:pPr>
              <w:overflowPunct w:val="0"/>
              <w:spacing w:line="320" w:lineRule="exact"/>
              <w:jc w:val="left"/>
              <w:rPr>
                <w:rFonts w:ascii="宋体" w:hAnsi="宋体" w:eastAsia="宋体"/>
                <w:sz w:val="20"/>
                <w:szCs w:val="20"/>
              </w:rPr>
            </w:pPr>
            <w:r>
              <w:rPr>
                <w:rFonts w:hint="eastAsia" w:ascii="宋体" w:hAnsi="宋体" w:eastAsia="宋体"/>
                <w:sz w:val="20"/>
                <w:szCs w:val="20"/>
              </w:rPr>
              <w:t>会计机构负责人（会计主管人员）有正式文件或者有关决议等书面形式予以明确的，得2分；否则不得分。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2</w:t>
            </w:r>
          </w:p>
        </w:tc>
        <w:tc>
          <w:tcPr>
            <w:tcW w:w="1559"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规范设置</w:t>
            </w:r>
          </w:p>
          <w:p>
            <w:pPr>
              <w:overflowPunct w:val="0"/>
              <w:spacing w:line="320" w:lineRule="exact"/>
              <w:jc w:val="center"/>
              <w:rPr>
                <w:rFonts w:ascii="宋体" w:hAnsi="宋体" w:eastAsia="宋体"/>
                <w:sz w:val="20"/>
                <w:szCs w:val="20"/>
              </w:rPr>
            </w:pPr>
            <w:r>
              <w:rPr>
                <w:rFonts w:hint="eastAsia" w:ascii="宋体" w:hAnsi="宋体" w:eastAsia="宋体"/>
                <w:sz w:val="20"/>
                <w:szCs w:val="20"/>
              </w:rPr>
              <w:t>会计工作岗位</w:t>
            </w:r>
          </w:p>
          <w:p>
            <w:pPr>
              <w:overflowPunct w:val="0"/>
              <w:spacing w:line="320" w:lineRule="exact"/>
              <w:jc w:val="center"/>
              <w:rPr>
                <w:rFonts w:ascii="宋体" w:hAnsi="宋体" w:eastAsia="宋体"/>
                <w:sz w:val="20"/>
                <w:szCs w:val="20"/>
              </w:rPr>
            </w:pPr>
            <w:r>
              <w:rPr>
                <w:rFonts w:hint="eastAsia" w:ascii="宋体" w:hAnsi="宋体" w:eastAsia="宋体"/>
                <w:sz w:val="20"/>
                <w:szCs w:val="20"/>
              </w:rPr>
              <w:t>（6分）</w:t>
            </w: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根据会计业务需要合理设置会计工作岗位的，得2分；否则不得分。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按规定实行关键岗位分离的，得2分；否则该大项6分均不得分。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会计人员的工作岗位定期进行轮换的，得2分；否则不得分。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3</w:t>
            </w:r>
          </w:p>
        </w:tc>
        <w:tc>
          <w:tcPr>
            <w:tcW w:w="1559"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规范任用</w:t>
            </w:r>
          </w:p>
          <w:p>
            <w:pPr>
              <w:overflowPunct w:val="0"/>
              <w:spacing w:line="320" w:lineRule="exact"/>
              <w:jc w:val="center"/>
              <w:rPr>
                <w:rFonts w:ascii="宋体" w:hAnsi="宋体" w:eastAsia="宋体"/>
                <w:sz w:val="20"/>
                <w:szCs w:val="20"/>
              </w:rPr>
            </w:pPr>
            <w:r>
              <w:rPr>
                <w:rFonts w:hint="eastAsia" w:ascii="宋体" w:hAnsi="宋体" w:eastAsia="宋体"/>
                <w:sz w:val="20"/>
                <w:szCs w:val="20"/>
              </w:rPr>
              <w:t>会计人员</w:t>
            </w:r>
          </w:p>
          <w:p>
            <w:pPr>
              <w:overflowPunct w:val="0"/>
              <w:spacing w:line="320" w:lineRule="exact"/>
              <w:jc w:val="center"/>
              <w:rPr>
                <w:rFonts w:ascii="宋体" w:hAnsi="宋体" w:eastAsia="宋体"/>
                <w:sz w:val="20"/>
                <w:szCs w:val="20"/>
              </w:rPr>
            </w:pPr>
            <w:r>
              <w:rPr>
                <w:rFonts w:hint="eastAsia" w:ascii="宋体" w:hAnsi="宋体" w:eastAsia="宋体"/>
                <w:sz w:val="20"/>
                <w:szCs w:val="20"/>
              </w:rPr>
              <w:t>（12分）</w:t>
            </w: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会计机构负责（会计主管人员）具备会计师以上专业技术资格证书或者从事会计工作三年以上经历的，得3分；否则该大项12分均不得分。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会计机构负责人（会计主管人员）不是单位领导人直系亲属的，得2分；否则该大项12分均不得分。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出纳不是由会计机构负责人（会计主管人员）直系亲属担任的，得2分；否则该大项12分均不得分。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全部会计人员参加会计信息采集的，得2分；只有部分会计人员参加会计信息采集的，得1分；会计人员均未参加会计信息采集的，不得分。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全部会计人员近五年继续教育均完成的，得2分；有部分会计人员近五年继续教育未全部完成的，得1分；全部会计人员近五年均未完成继续教育的，不得分。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单位每年组织会计业务培训的，或者保证会计人员自行参加会计业务培训的，得1分；否则不得分。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4</w:t>
            </w:r>
          </w:p>
        </w:tc>
        <w:tc>
          <w:tcPr>
            <w:tcW w:w="1559"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认真贯彻政府</w:t>
            </w:r>
          </w:p>
          <w:p>
            <w:pPr>
              <w:overflowPunct w:val="0"/>
              <w:spacing w:line="320" w:lineRule="exact"/>
              <w:jc w:val="center"/>
              <w:rPr>
                <w:rFonts w:ascii="宋体" w:hAnsi="宋体" w:eastAsia="宋体"/>
                <w:sz w:val="20"/>
                <w:szCs w:val="20"/>
              </w:rPr>
            </w:pPr>
            <w:r>
              <w:rPr>
                <w:rFonts w:hint="eastAsia" w:ascii="宋体" w:hAnsi="宋体" w:eastAsia="宋体"/>
                <w:sz w:val="20"/>
                <w:szCs w:val="20"/>
              </w:rPr>
              <w:t>会计准则制度</w:t>
            </w:r>
          </w:p>
          <w:p>
            <w:pPr>
              <w:overflowPunct w:val="0"/>
              <w:spacing w:line="320" w:lineRule="exact"/>
              <w:jc w:val="center"/>
              <w:rPr>
                <w:rFonts w:ascii="宋体" w:hAnsi="宋体" w:eastAsia="宋体"/>
                <w:sz w:val="20"/>
                <w:szCs w:val="20"/>
              </w:rPr>
            </w:pPr>
            <w:r>
              <w:rPr>
                <w:rFonts w:hint="eastAsia" w:ascii="宋体" w:hAnsi="宋体" w:eastAsia="宋体"/>
                <w:sz w:val="20"/>
                <w:szCs w:val="20"/>
              </w:rPr>
              <w:t>（5分）</w:t>
            </w: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严格按照政府会计准则制度进行会计核算的，得3分；否则不得分。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采用财政部门预算管理一体化系统进行单位会计核算的，得2分；否则不得分。（注：经批准可不采用的单位，自动获得本项2分）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5</w:t>
            </w:r>
          </w:p>
        </w:tc>
        <w:tc>
          <w:tcPr>
            <w:tcW w:w="1559" w:type="dxa"/>
            <w:vMerge w:val="restart"/>
            <w:vAlign w:val="center"/>
          </w:tcPr>
          <w:p>
            <w:pPr>
              <w:overflowPunct w:val="0"/>
              <w:spacing w:line="320" w:lineRule="exact"/>
              <w:jc w:val="center"/>
              <w:rPr>
                <w:rFonts w:ascii="宋体" w:hAnsi="宋体" w:eastAsia="宋体"/>
                <w:sz w:val="20"/>
                <w:szCs w:val="20"/>
              </w:rPr>
            </w:pPr>
            <w:r>
              <w:rPr>
                <w:rFonts w:hint="eastAsia" w:ascii="宋体" w:hAnsi="宋体" w:eastAsia="宋体"/>
                <w:sz w:val="20"/>
                <w:szCs w:val="20"/>
              </w:rPr>
              <w:t>规范填制</w:t>
            </w:r>
          </w:p>
          <w:p>
            <w:pPr>
              <w:overflowPunct w:val="0"/>
              <w:spacing w:line="320" w:lineRule="exact"/>
              <w:jc w:val="center"/>
              <w:rPr>
                <w:rFonts w:ascii="宋体" w:hAnsi="宋体" w:eastAsia="宋体"/>
                <w:sz w:val="20"/>
                <w:szCs w:val="20"/>
              </w:rPr>
            </w:pPr>
            <w:r>
              <w:rPr>
                <w:rFonts w:hint="eastAsia" w:ascii="宋体" w:hAnsi="宋体" w:eastAsia="宋体"/>
                <w:sz w:val="20"/>
                <w:szCs w:val="20"/>
              </w:rPr>
              <w:t>会计凭证</w:t>
            </w:r>
          </w:p>
          <w:p>
            <w:pPr>
              <w:overflowPunct w:val="0"/>
              <w:spacing w:line="320" w:lineRule="exact"/>
              <w:jc w:val="center"/>
              <w:rPr>
                <w:rFonts w:ascii="宋体" w:hAnsi="宋体" w:eastAsia="宋体"/>
                <w:sz w:val="20"/>
                <w:szCs w:val="20"/>
              </w:rPr>
            </w:pPr>
            <w:r>
              <w:rPr>
                <w:rFonts w:hint="eastAsia" w:ascii="宋体" w:hAnsi="宋体" w:eastAsia="宋体"/>
                <w:sz w:val="20"/>
                <w:szCs w:val="20"/>
              </w:rPr>
              <w:t>（9分）</w:t>
            </w:r>
          </w:p>
        </w:tc>
        <w:tc>
          <w:tcPr>
            <w:tcW w:w="5954" w:type="dxa"/>
            <w:vAlign w:val="center"/>
          </w:tcPr>
          <w:p>
            <w:pPr>
              <w:overflowPunct w:val="0"/>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原始凭证的内容和获取途径真实、合规的，得2分；否则不得分。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原始凭证不存在涂改、挖补的，得1分；否则不得分。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原始凭证有错误，按规定重开或更正的，得1分；否则不得分。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记账凭证填制规范的，得3分；每存在一处不规范，扣0.1分，扣完3分为限。不规范包括并不限于以下几项：（1）记账凭证摘要、科目、金额、内容与所附原始凭证不符；（2）不同内容和类别的原始凭证汇总填制在一张记账凭证上；（3）记账凭证上制单人员、审核人员、记账人员、会计机构负责人（会计主管人员）等未签字或盖章；（4）收款和付款记账凭证上出纳人员的未签字或盖章；（5）除结账和更正错账的记账凭证外，记账凭证未附原始凭证；（6）记账凭证后所附原始凭证不齐全。</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overflowPunct w:val="0"/>
              <w:spacing w:line="320" w:lineRule="exact"/>
              <w:jc w:val="center"/>
              <w:rPr>
                <w:rFonts w:ascii="宋体" w:hAnsi="宋体" w:eastAsia="宋体"/>
                <w:sz w:val="20"/>
                <w:szCs w:val="20"/>
              </w:rPr>
            </w:pPr>
          </w:p>
        </w:tc>
        <w:tc>
          <w:tcPr>
            <w:tcW w:w="1559" w:type="dxa"/>
            <w:vMerge w:val="continue"/>
            <w:vAlign w:val="center"/>
          </w:tcPr>
          <w:p>
            <w:pPr>
              <w:overflowPunct w:val="0"/>
              <w:spacing w:line="320" w:lineRule="exact"/>
              <w:jc w:val="center"/>
              <w:rPr>
                <w:rFonts w:ascii="宋体" w:hAnsi="宋体" w:eastAsia="宋体"/>
                <w:sz w:val="20"/>
                <w:szCs w:val="20"/>
              </w:rPr>
            </w:pPr>
          </w:p>
        </w:tc>
        <w:tc>
          <w:tcPr>
            <w:tcW w:w="5954" w:type="dxa"/>
            <w:vAlign w:val="center"/>
          </w:tcPr>
          <w:p>
            <w:pPr>
              <w:overflowPunct w:val="0"/>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记账凭证按期装订成册，并准确完整填写封面的，得2分；封面项目填写不全或装订不符合要求的,每存在一处扣0.1分，扣完2分为限。</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6</w:t>
            </w:r>
          </w:p>
        </w:tc>
        <w:tc>
          <w:tcPr>
            <w:tcW w:w="1559"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规范登记</w:t>
            </w:r>
          </w:p>
          <w:p>
            <w:pPr>
              <w:spacing w:line="300" w:lineRule="exact"/>
              <w:jc w:val="center"/>
              <w:rPr>
                <w:rFonts w:ascii="宋体" w:hAnsi="宋体" w:eastAsia="宋体"/>
                <w:sz w:val="20"/>
                <w:szCs w:val="20"/>
              </w:rPr>
            </w:pPr>
            <w:r>
              <w:rPr>
                <w:rFonts w:hint="eastAsia" w:ascii="宋体" w:hAnsi="宋体" w:eastAsia="宋体"/>
                <w:sz w:val="20"/>
                <w:szCs w:val="20"/>
              </w:rPr>
              <w:t>会计账簿</w:t>
            </w:r>
          </w:p>
          <w:p>
            <w:pPr>
              <w:spacing w:line="300" w:lineRule="exact"/>
              <w:jc w:val="center"/>
              <w:rPr>
                <w:rFonts w:ascii="宋体" w:hAnsi="宋体" w:eastAsia="宋体"/>
                <w:sz w:val="20"/>
                <w:szCs w:val="20"/>
              </w:rPr>
            </w:pPr>
            <w:r>
              <w:rPr>
                <w:rFonts w:hint="eastAsia" w:ascii="宋体" w:hAnsi="宋体" w:eastAsia="宋体"/>
                <w:sz w:val="20"/>
                <w:szCs w:val="20"/>
              </w:rPr>
              <w:t>（14分）</w:t>
            </w: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按照规定设置会计账簿，包括总账、明细账、日记账和其他辅助性账簿的，得3分；否则不得分。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采用正确会计处理方法，按规定会计科目进行核算的，得2分；否则不得分。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会计账簿记录内容完整、准确，得2分；否则不得分。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会计账簿字迹工整、账面整洁，得1分；否则不得分。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账簿记录发生错误，按照规定更正的，得2分；不按规定更正的每存在一处扣0.1分，扣完2分为限。</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会计账簿按规定装订成册，有记账人员和会计机构负责人（会计主管人员）印章或者签字的，得2分；否则不得分。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定期将会计账簿记录与库存实物、货币资金、有价证券、往来单位或者个人等进行相互核对，核对无误的，得2分；账证不符、账账不符、账实不符的，每存在一处扣0.1分，扣完2分为限。</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7</w:t>
            </w:r>
          </w:p>
        </w:tc>
        <w:tc>
          <w:tcPr>
            <w:tcW w:w="1559"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规范编制</w:t>
            </w:r>
          </w:p>
          <w:p>
            <w:pPr>
              <w:spacing w:line="300" w:lineRule="exact"/>
              <w:jc w:val="center"/>
              <w:rPr>
                <w:rFonts w:ascii="宋体" w:hAnsi="宋体" w:eastAsia="宋体"/>
                <w:sz w:val="20"/>
                <w:szCs w:val="20"/>
              </w:rPr>
            </w:pPr>
            <w:r>
              <w:rPr>
                <w:rFonts w:hint="eastAsia" w:ascii="宋体" w:hAnsi="宋体" w:eastAsia="宋体"/>
                <w:sz w:val="20"/>
                <w:szCs w:val="20"/>
              </w:rPr>
              <w:t>财务报告</w:t>
            </w:r>
          </w:p>
          <w:p>
            <w:pPr>
              <w:spacing w:line="300" w:lineRule="exact"/>
              <w:jc w:val="center"/>
              <w:rPr>
                <w:rFonts w:ascii="宋体" w:hAnsi="宋体" w:eastAsia="宋体"/>
                <w:sz w:val="20"/>
                <w:szCs w:val="20"/>
              </w:rPr>
            </w:pPr>
            <w:r>
              <w:rPr>
                <w:rFonts w:hint="eastAsia" w:ascii="宋体" w:hAnsi="宋体" w:eastAsia="宋体"/>
                <w:sz w:val="20"/>
                <w:szCs w:val="20"/>
              </w:rPr>
              <w:t>（7分）</w:t>
            </w: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编制符合会计法和国家统一的会计制度规定的格式和要求的财务报告的，得2分；否则不得分。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财务报告包括会计报表及其说明，会计报表包括会计报表主表、会计报表附表、会计报表附注的，得1分；报表不完整的不得分。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会计报表内容完整、准确，报表勾稽关系一致的，得2分；否则不得分。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对外报送的财务报告，有单位领导人、会计机构负责人（会计主管人员）的印章或者签字的，得2分；否则不得分。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8</w:t>
            </w:r>
          </w:p>
        </w:tc>
        <w:tc>
          <w:tcPr>
            <w:tcW w:w="1559"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建立健全内部</w:t>
            </w:r>
          </w:p>
          <w:p>
            <w:pPr>
              <w:spacing w:line="300" w:lineRule="exact"/>
              <w:jc w:val="center"/>
              <w:rPr>
                <w:rFonts w:ascii="宋体" w:hAnsi="宋体" w:eastAsia="宋体"/>
                <w:sz w:val="20"/>
                <w:szCs w:val="20"/>
              </w:rPr>
            </w:pPr>
            <w:r>
              <w:rPr>
                <w:rFonts w:hint="eastAsia" w:ascii="宋体" w:hAnsi="宋体" w:eastAsia="宋体"/>
                <w:sz w:val="20"/>
                <w:szCs w:val="20"/>
              </w:rPr>
              <w:t>会计管理制度</w:t>
            </w:r>
          </w:p>
          <w:p>
            <w:pPr>
              <w:spacing w:line="300" w:lineRule="exact"/>
              <w:jc w:val="center"/>
              <w:rPr>
                <w:rFonts w:ascii="宋体" w:hAnsi="宋体" w:eastAsia="宋体"/>
                <w:sz w:val="20"/>
                <w:szCs w:val="20"/>
              </w:rPr>
            </w:pPr>
            <w:r>
              <w:rPr>
                <w:rFonts w:hint="eastAsia" w:ascii="宋体" w:hAnsi="宋体" w:eastAsia="宋体"/>
                <w:sz w:val="20"/>
                <w:szCs w:val="20"/>
              </w:rPr>
              <w:t>（10分）</w:t>
            </w: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建立会计工作岗位责任制度，并执行到位的，得2分；建立制度未执行的，得1分；否则不得分。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建立账务处理程序制度，并执行到位的，得2分；建立制度未执行到位的，得1分；否则不得分。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建立内部稽核制度，并执行到位的，得2分；建立制度未执行到位的，得1分；否则不得分。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建立财产清查制度，并执行到位的，得2分；建立制度未执行到位的，得1分；否则不得分。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27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建立财务收支审批制度，并执行到位的，得2分；建立制度未执行到位的，得1分；否则不得分。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9</w:t>
            </w:r>
          </w:p>
        </w:tc>
        <w:tc>
          <w:tcPr>
            <w:tcW w:w="1559" w:type="dxa"/>
            <w:vMerge w:val="restart"/>
            <w:vAlign w:val="center"/>
          </w:tcPr>
          <w:p>
            <w:pPr>
              <w:spacing w:line="300" w:lineRule="exact"/>
              <w:jc w:val="center"/>
              <w:rPr>
                <w:rFonts w:ascii="宋体" w:hAnsi="宋体" w:eastAsia="宋体"/>
                <w:sz w:val="20"/>
                <w:szCs w:val="20"/>
              </w:rPr>
            </w:pPr>
            <w:r>
              <w:rPr>
                <w:rFonts w:ascii="宋体" w:hAnsi="宋体" w:eastAsia="宋体"/>
                <w:sz w:val="20"/>
                <w:szCs w:val="20"/>
              </w:rPr>
              <w:t>建立健全内部</w:t>
            </w:r>
          </w:p>
          <w:p>
            <w:pPr>
              <w:spacing w:line="300" w:lineRule="exact"/>
              <w:jc w:val="center"/>
              <w:rPr>
                <w:rFonts w:ascii="宋体" w:hAnsi="宋体" w:eastAsia="宋体"/>
                <w:sz w:val="20"/>
                <w:szCs w:val="20"/>
              </w:rPr>
            </w:pPr>
            <w:r>
              <w:rPr>
                <w:rFonts w:ascii="宋体" w:hAnsi="宋体" w:eastAsia="宋体"/>
                <w:sz w:val="20"/>
                <w:szCs w:val="20"/>
              </w:rPr>
              <w:t>控制制度</w:t>
            </w:r>
          </w:p>
          <w:p>
            <w:pPr>
              <w:spacing w:line="300" w:lineRule="exact"/>
              <w:jc w:val="center"/>
              <w:rPr>
                <w:rFonts w:ascii="宋体" w:hAnsi="宋体" w:eastAsia="宋体"/>
                <w:sz w:val="20"/>
                <w:szCs w:val="20"/>
              </w:rPr>
            </w:pPr>
            <w:r>
              <w:rPr>
                <w:rFonts w:hint="eastAsia" w:ascii="宋体" w:hAnsi="宋体" w:eastAsia="宋体"/>
                <w:sz w:val="20"/>
                <w:szCs w:val="20"/>
              </w:rPr>
              <w:t>（6分）</w:t>
            </w:r>
          </w:p>
        </w:tc>
        <w:tc>
          <w:tcPr>
            <w:tcW w:w="5954" w:type="dxa"/>
            <w:vAlign w:val="center"/>
          </w:tcPr>
          <w:p>
            <w:pPr>
              <w:widowControl/>
              <w:spacing w:line="34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定期进行经济活动风险评估的，得1分；否则不得分。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建立单位层面内部控制组织架构和工作机制，且单位负责人直接领导内控工作的，得2分；建立单位层面内部控制组织架构和工作机制，但单位负责人未领导内控工作的，得1分；否则不得分。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单位建立预算、收支、政府采购、资产、建设项目、合同六大业务层面内部控制制度且有效执行的，得2分；建立制度但执行不到位的，得1分；否则不得分。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按时报送年度行政事业单位内部控制报告的，得1分；否则不得分。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10</w:t>
            </w:r>
          </w:p>
        </w:tc>
        <w:tc>
          <w:tcPr>
            <w:tcW w:w="1559"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建立健全会计</w:t>
            </w:r>
          </w:p>
          <w:p>
            <w:pPr>
              <w:spacing w:line="300" w:lineRule="exact"/>
              <w:jc w:val="center"/>
              <w:rPr>
                <w:rFonts w:ascii="宋体" w:hAnsi="宋体" w:eastAsia="宋体"/>
                <w:sz w:val="20"/>
                <w:szCs w:val="20"/>
              </w:rPr>
            </w:pPr>
            <w:r>
              <w:rPr>
                <w:rFonts w:hint="eastAsia" w:ascii="宋体" w:hAnsi="宋体" w:eastAsia="宋体"/>
                <w:sz w:val="20"/>
                <w:szCs w:val="20"/>
              </w:rPr>
              <w:t>工作交接制度</w:t>
            </w:r>
          </w:p>
          <w:p>
            <w:pPr>
              <w:spacing w:line="300" w:lineRule="exact"/>
              <w:jc w:val="center"/>
              <w:rPr>
                <w:rFonts w:ascii="宋体" w:hAnsi="宋体" w:eastAsia="宋体"/>
                <w:sz w:val="20"/>
                <w:szCs w:val="20"/>
              </w:rPr>
            </w:pPr>
            <w:r>
              <w:rPr>
                <w:rFonts w:hint="eastAsia" w:ascii="宋体" w:hAnsi="宋体" w:eastAsia="宋体"/>
                <w:sz w:val="20"/>
                <w:szCs w:val="20"/>
              </w:rPr>
              <w:t>（6分）</w:t>
            </w: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会计人员工作调动或者离职，按规定办理会计工作交接手续的，得2分；否则不得分。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单位落实监交制度的，得2分；否则不得分。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接替人员应当继续使用移交的会计账簿，未另立新账的，得2分；否则不得分。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11</w:t>
            </w:r>
          </w:p>
        </w:tc>
        <w:tc>
          <w:tcPr>
            <w:tcW w:w="1559"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建立健全会计</w:t>
            </w:r>
          </w:p>
          <w:p>
            <w:pPr>
              <w:spacing w:line="300" w:lineRule="exact"/>
              <w:jc w:val="center"/>
              <w:rPr>
                <w:rFonts w:ascii="宋体" w:hAnsi="宋体" w:eastAsia="宋体"/>
                <w:sz w:val="20"/>
                <w:szCs w:val="20"/>
              </w:rPr>
            </w:pPr>
            <w:r>
              <w:rPr>
                <w:rFonts w:hint="eastAsia" w:ascii="宋体" w:hAnsi="宋体" w:eastAsia="宋体"/>
                <w:sz w:val="20"/>
                <w:szCs w:val="20"/>
              </w:rPr>
              <w:t>档案管理制度</w:t>
            </w:r>
          </w:p>
          <w:p>
            <w:pPr>
              <w:spacing w:line="300" w:lineRule="exact"/>
              <w:jc w:val="center"/>
              <w:rPr>
                <w:rFonts w:ascii="宋体" w:hAnsi="宋体" w:eastAsia="宋体"/>
                <w:sz w:val="20"/>
                <w:szCs w:val="20"/>
              </w:rPr>
            </w:pPr>
            <w:r>
              <w:rPr>
                <w:rFonts w:hint="eastAsia" w:ascii="宋体" w:hAnsi="宋体" w:eastAsia="宋体"/>
                <w:sz w:val="20"/>
                <w:szCs w:val="20"/>
              </w:rPr>
              <w:t>（10分）</w:t>
            </w: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单位制定会计档案管理制度并执行到位的，得2分；建立制度未执行到位的，得1分；否则不得分。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会计档案保管地点安全规范的，得1分；否则不得分。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移交会计档案符合规定、手续齐全的，得2分；否则不得分。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单位在进行会计档案查阅、复制、借出时履行登记手续的，得2分；否则不得分。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会计档案鉴定、销毁手续完备，未发生违规销毁会计档案的事件的，得3分；会计档案鉴定、销毁手续不完备，未发生违规销毁会计档案的事件的，得1分；发生违规销毁会计档案事件的，该大项10分均不得分。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12</w:t>
            </w:r>
          </w:p>
        </w:tc>
        <w:tc>
          <w:tcPr>
            <w:tcW w:w="1559"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有效发挥单位</w:t>
            </w:r>
          </w:p>
          <w:p>
            <w:pPr>
              <w:spacing w:line="300" w:lineRule="exact"/>
              <w:jc w:val="center"/>
              <w:rPr>
                <w:rFonts w:ascii="宋体" w:hAnsi="宋体" w:eastAsia="宋体"/>
                <w:sz w:val="20"/>
                <w:szCs w:val="20"/>
              </w:rPr>
            </w:pPr>
            <w:r>
              <w:rPr>
                <w:rFonts w:hint="eastAsia" w:ascii="宋体" w:hAnsi="宋体" w:eastAsia="宋体"/>
                <w:sz w:val="20"/>
                <w:szCs w:val="20"/>
              </w:rPr>
              <w:t>会计监督作用</w:t>
            </w:r>
          </w:p>
          <w:p>
            <w:pPr>
              <w:spacing w:line="300" w:lineRule="exact"/>
              <w:jc w:val="center"/>
              <w:rPr>
                <w:rFonts w:ascii="宋体" w:hAnsi="宋体" w:eastAsia="宋体"/>
                <w:sz w:val="20"/>
                <w:szCs w:val="20"/>
              </w:rPr>
            </w:pPr>
            <w:r>
              <w:rPr>
                <w:rFonts w:hint="eastAsia" w:ascii="宋体" w:hAnsi="宋体" w:eastAsia="宋体"/>
                <w:sz w:val="20"/>
                <w:szCs w:val="20"/>
              </w:rPr>
              <w:t>（10分）</w:t>
            </w: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单位负责人保证会计机构、会计人员依法履行职责，未授意、指使、强令会计机构、会计人员违法办理会计事项的，得3分；否则该大项10分均不得分。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会计机构、会计人员能够对本单位的原始凭证进行有效审核和监督，对实物、款项、财务收支进行有效监督，对单位预算、财务计划等的执行情况进行有效监督，得2分；否则该大项10分均不得分。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会计机构、会计人员对伪造、变造、故意毁灭会计账簿或者账外设账的行为，对指使、强令编造、篡改财务报告的行为，对违反单位内部会计管理制度的活动，能够及时制止和纠正的，得2分；否则该大项10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4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单位依法依规接受有关监督检查部门的监督检查，能如实提供会计资料及有关情况，未拒绝、隐匿、谎报的，得3分；否则该大项10分均不得分。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13</w:t>
            </w:r>
          </w:p>
        </w:tc>
        <w:tc>
          <w:tcPr>
            <w:tcW w:w="1559" w:type="dxa"/>
            <w:vMerge w:val="restart"/>
            <w:vAlign w:val="center"/>
          </w:tcPr>
          <w:p>
            <w:pPr>
              <w:spacing w:line="300" w:lineRule="exact"/>
              <w:jc w:val="center"/>
              <w:rPr>
                <w:rFonts w:ascii="宋体" w:hAnsi="宋体" w:eastAsia="宋体"/>
                <w:sz w:val="20"/>
                <w:szCs w:val="20"/>
              </w:rPr>
            </w:pPr>
            <w:r>
              <w:rPr>
                <w:rFonts w:hint="eastAsia" w:ascii="宋体" w:hAnsi="宋体" w:eastAsia="宋体"/>
                <w:sz w:val="20"/>
                <w:szCs w:val="20"/>
              </w:rPr>
              <w:t>加分项</w:t>
            </w:r>
          </w:p>
        </w:tc>
        <w:tc>
          <w:tcPr>
            <w:tcW w:w="5954" w:type="dxa"/>
            <w:vAlign w:val="center"/>
          </w:tcPr>
          <w:p>
            <w:pPr>
              <w:widowControl/>
              <w:spacing w:line="3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单位会计机构中一半以上会计人员取得会计专业技术资格证书（注册会计师证书），加2分。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20" w:lineRule="exact"/>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对做出显著成绩的会计机构、会计人员，单位制定明确激励政策的，加2分。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单位仅使用电子会计凭证报销、入账、归档的，或开展纸质凭证影像化采集的，加2分。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17" w:type="dxa"/>
            <w:vMerge w:val="continue"/>
            <w:vAlign w:val="center"/>
          </w:tcPr>
          <w:p>
            <w:pPr>
              <w:spacing w:line="300" w:lineRule="exact"/>
              <w:jc w:val="center"/>
              <w:rPr>
                <w:rFonts w:ascii="宋体" w:hAnsi="宋体" w:eastAsia="宋体"/>
                <w:sz w:val="20"/>
                <w:szCs w:val="20"/>
              </w:rPr>
            </w:pPr>
          </w:p>
        </w:tc>
        <w:tc>
          <w:tcPr>
            <w:tcW w:w="1559" w:type="dxa"/>
            <w:vMerge w:val="continue"/>
            <w:vAlign w:val="center"/>
          </w:tcPr>
          <w:p>
            <w:pPr>
              <w:spacing w:line="300" w:lineRule="exact"/>
              <w:jc w:val="center"/>
              <w:rPr>
                <w:rFonts w:ascii="宋体" w:hAnsi="宋体" w:eastAsia="宋体"/>
                <w:sz w:val="20"/>
                <w:szCs w:val="20"/>
              </w:rPr>
            </w:pPr>
          </w:p>
        </w:tc>
        <w:tc>
          <w:tcPr>
            <w:tcW w:w="5954" w:type="dxa"/>
            <w:vAlign w:val="center"/>
          </w:tcPr>
          <w:p>
            <w:pPr>
              <w:widowControl/>
              <w:spacing w:line="3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近三年获得省部级及以上会计工作奖励或其他体现会计工作先进性的事项，每项加2分。</w:t>
            </w:r>
          </w:p>
        </w:tc>
        <w:tc>
          <w:tcPr>
            <w:tcW w:w="850" w:type="dxa"/>
            <w:vAlign w:val="center"/>
          </w:tcPr>
          <w:p>
            <w:pPr>
              <w:spacing w:line="300" w:lineRule="exact"/>
              <w:jc w:val="cente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trPr>
        <w:tc>
          <w:tcPr>
            <w:tcW w:w="8330" w:type="dxa"/>
            <w:gridSpan w:val="3"/>
            <w:vAlign w:val="center"/>
          </w:tcPr>
          <w:p>
            <w:pPr>
              <w:spacing w:line="300" w:lineRule="exact"/>
              <w:jc w:val="center"/>
              <w:rPr>
                <w:rFonts w:ascii="黑体" w:hAnsi="黑体" w:eastAsia="黑体"/>
                <w:sz w:val="24"/>
              </w:rPr>
            </w:pPr>
            <w:r>
              <w:rPr>
                <w:rFonts w:hint="eastAsia" w:ascii="黑体" w:hAnsi="黑体" w:eastAsia="黑体"/>
                <w:sz w:val="24"/>
              </w:rPr>
              <w:t>合计得分</w:t>
            </w:r>
          </w:p>
        </w:tc>
        <w:tc>
          <w:tcPr>
            <w:tcW w:w="850" w:type="dxa"/>
            <w:vAlign w:val="center"/>
          </w:tcPr>
          <w:p>
            <w:pPr>
              <w:spacing w:line="300" w:lineRule="exact"/>
              <w:jc w:val="center"/>
              <w:rPr>
                <w:rFonts w:ascii="宋体" w:hAnsi="宋体"/>
                <w:sz w:val="20"/>
                <w:szCs w:val="20"/>
              </w:rPr>
            </w:pPr>
          </w:p>
        </w:tc>
      </w:tr>
    </w:tbl>
    <w:p>
      <w:pPr>
        <w:spacing w:line="300" w:lineRule="exact"/>
        <w:rPr>
          <w:rFonts w:ascii="宋体" w:hAnsi="宋体" w:eastAsia="宋体"/>
          <w:sz w:val="20"/>
          <w:szCs w:val="20"/>
        </w:rPr>
      </w:pPr>
      <w:r>
        <w:rPr>
          <w:rFonts w:hint="eastAsia" w:ascii="宋体" w:hAnsi="宋体" w:eastAsia="宋体"/>
          <w:sz w:val="20"/>
          <w:szCs w:val="20"/>
        </w:rPr>
        <w:t>注：会计主管人员是指不单独设置会计机构、只在其他机构中设置专职会计人员的单位，行使会计机</w:t>
      </w:r>
    </w:p>
    <w:p>
      <w:pPr>
        <w:spacing w:line="300" w:lineRule="exact"/>
        <w:ind w:firstLine="400" w:firstLineChars="200"/>
        <w:rPr>
          <w:rFonts w:ascii="宋体" w:hAnsi="宋体" w:eastAsia="宋体"/>
          <w:sz w:val="20"/>
          <w:szCs w:val="20"/>
        </w:rPr>
      </w:pPr>
      <w:r>
        <w:rPr>
          <w:rFonts w:hint="eastAsia" w:ascii="宋体" w:hAnsi="宋体" w:eastAsia="宋体"/>
          <w:sz w:val="20"/>
          <w:szCs w:val="20"/>
        </w:rPr>
        <w:t>构负责人职权的人员，是《中华人民共和国会计法》《会计基础工作规范》中具有特定法律意义</w:t>
      </w:r>
    </w:p>
    <w:p>
      <w:pPr>
        <w:spacing w:line="300" w:lineRule="exact"/>
        <w:ind w:firstLine="400" w:firstLineChars="200"/>
        <w:rPr>
          <w:rFonts w:ascii="宋体" w:hAnsi="宋体" w:eastAsia="宋体"/>
          <w:sz w:val="20"/>
          <w:szCs w:val="20"/>
        </w:rPr>
      </w:pPr>
      <w:r>
        <w:rPr>
          <w:rFonts w:hint="eastAsia" w:ascii="宋体" w:hAnsi="宋体" w:eastAsia="宋体"/>
          <w:sz w:val="20"/>
          <w:szCs w:val="20"/>
        </w:rPr>
        <w:t>的规范名词。</w:t>
      </w:r>
    </w:p>
    <w:p>
      <w:pPr>
        <w:spacing w:line="300" w:lineRule="exact"/>
        <w:rPr>
          <w:rFonts w:ascii="宋体" w:hAnsi="宋体" w:eastAsia="宋体"/>
          <w:sz w:val="20"/>
          <w:szCs w:val="20"/>
        </w:rPr>
      </w:pPr>
    </w:p>
    <w:p>
      <w:pPr>
        <w:widowControl/>
        <w:jc w:val="left"/>
        <w:rPr>
          <w:rFonts w:ascii="仿宋_GB2312" w:hAnsi="黑体" w:eastAsia="仿宋_GB2312" w:cs="黑体"/>
          <w:sz w:val="32"/>
          <w:szCs w:val="32"/>
        </w:rPr>
      </w:pPr>
      <w:bookmarkStart w:id="0" w:name="_GoBack"/>
      <w:bookmarkEnd w:id="0"/>
    </w:p>
    <w:sectPr>
      <w:footerReference r:id="rId4" w:type="default"/>
      <w:pgSz w:w="11906" w:h="16838"/>
      <w:pgMar w:top="1701" w:right="1474" w:bottom="1701" w:left="1474"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方正小标宋简体">
    <w:altName w:val="Arial Unicode MS"/>
    <w:panose1 w:val="00000000000000000000"/>
    <w:charset w:val="86"/>
    <w:family w:val="auto"/>
    <w:pitch w:val="default"/>
    <w:sig w:usb0="00000000"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rPr>
        <w:rFonts w:ascii="宋体" w:hAnsi="宋体" w:eastAsia="宋体"/>
        <w:sz w:val="24"/>
        <w:szCs w:val="24"/>
      </w:rPr>
      <w:t>—</w:t>
    </w:r>
    <w:r>
      <w:rPr>
        <w:rFonts w:ascii="宋体" w:hAnsi="宋体" w:eastAsia="宋体"/>
        <w:sz w:val="24"/>
      </w:rPr>
      <w:fldChar w:fldCharType="begin"/>
    </w:r>
    <w:r>
      <w:rPr>
        <w:rFonts w:ascii="宋体" w:hAnsi="宋体" w:eastAsia="宋体"/>
        <w:sz w:val="24"/>
        <w:szCs w:val="24"/>
      </w:rPr>
      <w:instrText xml:space="preserve">PAGE   \* MERGEFORMAT</w:instrText>
    </w:r>
    <w:r>
      <w:rPr>
        <w:rFonts w:ascii="宋体" w:hAnsi="宋体" w:eastAsia="宋体"/>
        <w:sz w:val="24"/>
      </w:rPr>
      <w:fldChar w:fldCharType="separate"/>
    </w:r>
    <w:r>
      <w:rPr>
        <w:rFonts w:ascii="宋体" w:hAnsi="宋体" w:eastAsia="宋体"/>
        <w:sz w:val="24"/>
        <w:szCs w:val="24"/>
        <w:lang w:val="zh-CN"/>
      </w:rPr>
      <w:t>9</w:t>
    </w:r>
    <w:r>
      <w:rPr>
        <w:rFonts w:ascii="宋体" w:hAnsi="宋体" w:eastAsia="宋体"/>
        <w:sz w:val="24"/>
      </w:rPr>
      <w:fldChar w:fldCharType="end"/>
    </w:r>
    <w:r>
      <w:rPr>
        <w:rFonts w:ascii="宋体" w:hAnsi="宋体" w:eastAsia="宋体"/>
        <w:sz w:val="24"/>
        <w:szCs w:val="24"/>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D0F21"/>
    <w:rsid w:val="00005139"/>
    <w:rsid w:val="00006A87"/>
    <w:rsid w:val="00024C95"/>
    <w:rsid w:val="0003726E"/>
    <w:rsid w:val="00041E93"/>
    <w:rsid w:val="00047E74"/>
    <w:rsid w:val="00051050"/>
    <w:rsid w:val="000525C2"/>
    <w:rsid w:val="00066EF4"/>
    <w:rsid w:val="0007588E"/>
    <w:rsid w:val="00076472"/>
    <w:rsid w:val="00081DAE"/>
    <w:rsid w:val="000977A6"/>
    <w:rsid w:val="000A52E3"/>
    <w:rsid w:val="000A7665"/>
    <w:rsid w:val="000C17D3"/>
    <w:rsid w:val="000D5A96"/>
    <w:rsid w:val="000E00ED"/>
    <w:rsid w:val="000E0896"/>
    <w:rsid w:val="000E1FBE"/>
    <w:rsid w:val="000E599D"/>
    <w:rsid w:val="000F0314"/>
    <w:rsid w:val="000F15C2"/>
    <w:rsid w:val="000F3E9A"/>
    <w:rsid w:val="000F4F98"/>
    <w:rsid w:val="000F6C05"/>
    <w:rsid w:val="00104CAF"/>
    <w:rsid w:val="00105AF4"/>
    <w:rsid w:val="001110DB"/>
    <w:rsid w:val="00111A4A"/>
    <w:rsid w:val="00111A7D"/>
    <w:rsid w:val="0012251E"/>
    <w:rsid w:val="00124DBA"/>
    <w:rsid w:val="001308D9"/>
    <w:rsid w:val="0013592B"/>
    <w:rsid w:val="00137497"/>
    <w:rsid w:val="00137550"/>
    <w:rsid w:val="00162C4C"/>
    <w:rsid w:val="00171C7D"/>
    <w:rsid w:val="00172BED"/>
    <w:rsid w:val="001842DF"/>
    <w:rsid w:val="00195E18"/>
    <w:rsid w:val="0019628E"/>
    <w:rsid w:val="001B074B"/>
    <w:rsid w:val="001B27A8"/>
    <w:rsid w:val="001B285C"/>
    <w:rsid w:val="001B2CDC"/>
    <w:rsid w:val="001C4134"/>
    <w:rsid w:val="001C495B"/>
    <w:rsid w:val="001D0F21"/>
    <w:rsid w:val="001D274A"/>
    <w:rsid w:val="001E58DA"/>
    <w:rsid w:val="001E66C3"/>
    <w:rsid w:val="001E678D"/>
    <w:rsid w:val="001F20DC"/>
    <w:rsid w:val="001F43E6"/>
    <w:rsid w:val="002077DC"/>
    <w:rsid w:val="00211F0A"/>
    <w:rsid w:val="002138D5"/>
    <w:rsid w:val="002138E5"/>
    <w:rsid w:val="00214124"/>
    <w:rsid w:val="00215B3F"/>
    <w:rsid w:val="00235DB8"/>
    <w:rsid w:val="002529D8"/>
    <w:rsid w:val="00262F21"/>
    <w:rsid w:val="00263524"/>
    <w:rsid w:val="002758C5"/>
    <w:rsid w:val="0027665F"/>
    <w:rsid w:val="00277898"/>
    <w:rsid w:val="0028102D"/>
    <w:rsid w:val="002910D3"/>
    <w:rsid w:val="00296F62"/>
    <w:rsid w:val="002B0872"/>
    <w:rsid w:val="002B186A"/>
    <w:rsid w:val="002B3C6E"/>
    <w:rsid w:val="002B48DC"/>
    <w:rsid w:val="002C0A1C"/>
    <w:rsid w:val="002C1FA8"/>
    <w:rsid w:val="002C3731"/>
    <w:rsid w:val="002C4729"/>
    <w:rsid w:val="002D412D"/>
    <w:rsid w:val="002E6193"/>
    <w:rsid w:val="002E70A6"/>
    <w:rsid w:val="002F62DC"/>
    <w:rsid w:val="0031135D"/>
    <w:rsid w:val="003149C2"/>
    <w:rsid w:val="00322E62"/>
    <w:rsid w:val="00323294"/>
    <w:rsid w:val="003578D8"/>
    <w:rsid w:val="003637BC"/>
    <w:rsid w:val="00365DD6"/>
    <w:rsid w:val="00366D43"/>
    <w:rsid w:val="003752DD"/>
    <w:rsid w:val="00384345"/>
    <w:rsid w:val="00395014"/>
    <w:rsid w:val="0039599B"/>
    <w:rsid w:val="003A7C61"/>
    <w:rsid w:val="003B024D"/>
    <w:rsid w:val="003B0260"/>
    <w:rsid w:val="003B0280"/>
    <w:rsid w:val="003B48EF"/>
    <w:rsid w:val="003C2692"/>
    <w:rsid w:val="003D3241"/>
    <w:rsid w:val="003D3C9B"/>
    <w:rsid w:val="003D57D5"/>
    <w:rsid w:val="003D6203"/>
    <w:rsid w:val="003E5C36"/>
    <w:rsid w:val="003F2395"/>
    <w:rsid w:val="003F3367"/>
    <w:rsid w:val="003F5A94"/>
    <w:rsid w:val="0040395D"/>
    <w:rsid w:val="0040469D"/>
    <w:rsid w:val="00406A4E"/>
    <w:rsid w:val="004139FF"/>
    <w:rsid w:val="00430E72"/>
    <w:rsid w:val="00443B5C"/>
    <w:rsid w:val="00443DF1"/>
    <w:rsid w:val="0044647D"/>
    <w:rsid w:val="00455AFF"/>
    <w:rsid w:val="00466568"/>
    <w:rsid w:val="004679B6"/>
    <w:rsid w:val="00473E0D"/>
    <w:rsid w:val="00475721"/>
    <w:rsid w:val="00481A56"/>
    <w:rsid w:val="00484C17"/>
    <w:rsid w:val="0048571C"/>
    <w:rsid w:val="00487A78"/>
    <w:rsid w:val="00487E0C"/>
    <w:rsid w:val="00493FAB"/>
    <w:rsid w:val="00494429"/>
    <w:rsid w:val="004A3CBF"/>
    <w:rsid w:val="004B79D2"/>
    <w:rsid w:val="004B7D6F"/>
    <w:rsid w:val="004C1869"/>
    <w:rsid w:val="004E0F01"/>
    <w:rsid w:val="004E484D"/>
    <w:rsid w:val="004E737B"/>
    <w:rsid w:val="004F0ABE"/>
    <w:rsid w:val="004F7B6A"/>
    <w:rsid w:val="00507742"/>
    <w:rsid w:val="0051020B"/>
    <w:rsid w:val="00512DF9"/>
    <w:rsid w:val="00514DA1"/>
    <w:rsid w:val="00520B9E"/>
    <w:rsid w:val="00522265"/>
    <w:rsid w:val="00523D51"/>
    <w:rsid w:val="0054083B"/>
    <w:rsid w:val="005425BE"/>
    <w:rsid w:val="005426B9"/>
    <w:rsid w:val="00546FF7"/>
    <w:rsid w:val="0055143D"/>
    <w:rsid w:val="00552A11"/>
    <w:rsid w:val="005721E8"/>
    <w:rsid w:val="00574CA0"/>
    <w:rsid w:val="00582A9E"/>
    <w:rsid w:val="00583125"/>
    <w:rsid w:val="005854A2"/>
    <w:rsid w:val="00585516"/>
    <w:rsid w:val="00593CEF"/>
    <w:rsid w:val="00595EA8"/>
    <w:rsid w:val="00596138"/>
    <w:rsid w:val="00597274"/>
    <w:rsid w:val="005A09FB"/>
    <w:rsid w:val="005B2552"/>
    <w:rsid w:val="005B5E3C"/>
    <w:rsid w:val="005B69E6"/>
    <w:rsid w:val="005B7805"/>
    <w:rsid w:val="005C0856"/>
    <w:rsid w:val="005D469C"/>
    <w:rsid w:val="005E2CAE"/>
    <w:rsid w:val="005F188C"/>
    <w:rsid w:val="005F71E8"/>
    <w:rsid w:val="006001AF"/>
    <w:rsid w:val="00606095"/>
    <w:rsid w:val="00614578"/>
    <w:rsid w:val="00622EA6"/>
    <w:rsid w:val="006304CE"/>
    <w:rsid w:val="006328B8"/>
    <w:rsid w:val="00642096"/>
    <w:rsid w:val="0064496D"/>
    <w:rsid w:val="00661F00"/>
    <w:rsid w:val="0066694E"/>
    <w:rsid w:val="00673085"/>
    <w:rsid w:val="00681BE7"/>
    <w:rsid w:val="006840EC"/>
    <w:rsid w:val="006B0CAA"/>
    <w:rsid w:val="006B2324"/>
    <w:rsid w:val="006D45D7"/>
    <w:rsid w:val="006D7D2B"/>
    <w:rsid w:val="006E12F3"/>
    <w:rsid w:val="006E2D44"/>
    <w:rsid w:val="006E4C3B"/>
    <w:rsid w:val="006F0ED3"/>
    <w:rsid w:val="006F16F4"/>
    <w:rsid w:val="007005F5"/>
    <w:rsid w:val="007021DC"/>
    <w:rsid w:val="00704ED7"/>
    <w:rsid w:val="00714137"/>
    <w:rsid w:val="00746651"/>
    <w:rsid w:val="00752699"/>
    <w:rsid w:val="007564C6"/>
    <w:rsid w:val="0077237E"/>
    <w:rsid w:val="00772EAA"/>
    <w:rsid w:val="0077380C"/>
    <w:rsid w:val="007765B8"/>
    <w:rsid w:val="007845F9"/>
    <w:rsid w:val="007878B4"/>
    <w:rsid w:val="00794E03"/>
    <w:rsid w:val="007A2EFB"/>
    <w:rsid w:val="007A3786"/>
    <w:rsid w:val="007A3A3C"/>
    <w:rsid w:val="007B02BD"/>
    <w:rsid w:val="007B19E9"/>
    <w:rsid w:val="007B2DCF"/>
    <w:rsid w:val="007B451F"/>
    <w:rsid w:val="007C331D"/>
    <w:rsid w:val="007D7CE3"/>
    <w:rsid w:val="007E6C86"/>
    <w:rsid w:val="007F5B19"/>
    <w:rsid w:val="00801C49"/>
    <w:rsid w:val="00804CA1"/>
    <w:rsid w:val="00813E43"/>
    <w:rsid w:val="0082635E"/>
    <w:rsid w:val="008323AA"/>
    <w:rsid w:val="008337A5"/>
    <w:rsid w:val="00835FE0"/>
    <w:rsid w:val="00841652"/>
    <w:rsid w:val="00841762"/>
    <w:rsid w:val="00856342"/>
    <w:rsid w:val="008619F6"/>
    <w:rsid w:val="00865CFD"/>
    <w:rsid w:val="00871839"/>
    <w:rsid w:val="00873A8A"/>
    <w:rsid w:val="00873FE8"/>
    <w:rsid w:val="00891139"/>
    <w:rsid w:val="008B12CD"/>
    <w:rsid w:val="008B4EF2"/>
    <w:rsid w:val="008B7101"/>
    <w:rsid w:val="008C3E9F"/>
    <w:rsid w:val="008C67A4"/>
    <w:rsid w:val="008D6539"/>
    <w:rsid w:val="0090026D"/>
    <w:rsid w:val="009014E0"/>
    <w:rsid w:val="00901DB0"/>
    <w:rsid w:val="00902C98"/>
    <w:rsid w:val="00902E15"/>
    <w:rsid w:val="0090611C"/>
    <w:rsid w:val="009133EC"/>
    <w:rsid w:val="00921B38"/>
    <w:rsid w:val="00925B00"/>
    <w:rsid w:val="00925EE4"/>
    <w:rsid w:val="00930A6A"/>
    <w:rsid w:val="00932FF9"/>
    <w:rsid w:val="0094377A"/>
    <w:rsid w:val="00961D77"/>
    <w:rsid w:val="00965531"/>
    <w:rsid w:val="009670D6"/>
    <w:rsid w:val="009C4C7F"/>
    <w:rsid w:val="009C5388"/>
    <w:rsid w:val="009C5F6C"/>
    <w:rsid w:val="009D25CF"/>
    <w:rsid w:val="009E1415"/>
    <w:rsid w:val="009E2162"/>
    <w:rsid w:val="009E2ECC"/>
    <w:rsid w:val="009E5931"/>
    <w:rsid w:val="009F1DE3"/>
    <w:rsid w:val="009F35DC"/>
    <w:rsid w:val="00A006BA"/>
    <w:rsid w:val="00A00FFB"/>
    <w:rsid w:val="00A01FC2"/>
    <w:rsid w:val="00A030EB"/>
    <w:rsid w:val="00A10028"/>
    <w:rsid w:val="00A1123F"/>
    <w:rsid w:val="00A27F53"/>
    <w:rsid w:val="00A3292F"/>
    <w:rsid w:val="00A34089"/>
    <w:rsid w:val="00A5084C"/>
    <w:rsid w:val="00A678ED"/>
    <w:rsid w:val="00A715E2"/>
    <w:rsid w:val="00A731D2"/>
    <w:rsid w:val="00A73C7F"/>
    <w:rsid w:val="00A76A65"/>
    <w:rsid w:val="00A85BDE"/>
    <w:rsid w:val="00A91E7C"/>
    <w:rsid w:val="00AA0672"/>
    <w:rsid w:val="00AA2661"/>
    <w:rsid w:val="00AA4999"/>
    <w:rsid w:val="00AA5EC8"/>
    <w:rsid w:val="00AA6337"/>
    <w:rsid w:val="00AB0759"/>
    <w:rsid w:val="00AB2D2F"/>
    <w:rsid w:val="00AD0C73"/>
    <w:rsid w:val="00AD2362"/>
    <w:rsid w:val="00AE0DDE"/>
    <w:rsid w:val="00AE495C"/>
    <w:rsid w:val="00AE59F4"/>
    <w:rsid w:val="00B0555A"/>
    <w:rsid w:val="00B06D2A"/>
    <w:rsid w:val="00B071CE"/>
    <w:rsid w:val="00B13D1D"/>
    <w:rsid w:val="00B17B06"/>
    <w:rsid w:val="00B220DB"/>
    <w:rsid w:val="00B274D1"/>
    <w:rsid w:val="00B32659"/>
    <w:rsid w:val="00B46DB2"/>
    <w:rsid w:val="00B53B7C"/>
    <w:rsid w:val="00B654B4"/>
    <w:rsid w:val="00B66414"/>
    <w:rsid w:val="00B66C58"/>
    <w:rsid w:val="00B67FB9"/>
    <w:rsid w:val="00B861FE"/>
    <w:rsid w:val="00B90766"/>
    <w:rsid w:val="00BA64F9"/>
    <w:rsid w:val="00BA760F"/>
    <w:rsid w:val="00BB10BC"/>
    <w:rsid w:val="00BB6137"/>
    <w:rsid w:val="00BC08EF"/>
    <w:rsid w:val="00BC2BAE"/>
    <w:rsid w:val="00BC7C5B"/>
    <w:rsid w:val="00BD5F0D"/>
    <w:rsid w:val="00BE1BCE"/>
    <w:rsid w:val="00BE4948"/>
    <w:rsid w:val="00BF796D"/>
    <w:rsid w:val="00C04AAF"/>
    <w:rsid w:val="00C17467"/>
    <w:rsid w:val="00C223EA"/>
    <w:rsid w:val="00C26F42"/>
    <w:rsid w:val="00C4095C"/>
    <w:rsid w:val="00C5468F"/>
    <w:rsid w:val="00C7232D"/>
    <w:rsid w:val="00C72B2A"/>
    <w:rsid w:val="00C72D86"/>
    <w:rsid w:val="00C74E83"/>
    <w:rsid w:val="00C755FC"/>
    <w:rsid w:val="00C825AD"/>
    <w:rsid w:val="00C85F15"/>
    <w:rsid w:val="00C93887"/>
    <w:rsid w:val="00C94E92"/>
    <w:rsid w:val="00CA1767"/>
    <w:rsid w:val="00CA410E"/>
    <w:rsid w:val="00CB0160"/>
    <w:rsid w:val="00CB04BA"/>
    <w:rsid w:val="00CC5953"/>
    <w:rsid w:val="00CC6BB9"/>
    <w:rsid w:val="00CC77EE"/>
    <w:rsid w:val="00CD4113"/>
    <w:rsid w:val="00CD4791"/>
    <w:rsid w:val="00CD4955"/>
    <w:rsid w:val="00CD7648"/>
    <w:rsid w:val="00CF40C5"/>
    <w:rsid w:val="00CF53A1"/>
    <w:rsid w:val="00D0758A"/>
    <w:rsid w:val="00D27307"/>
    <w:rsid w:val="00D307FE"/>
    <w:rsid w:val="00D3437F"/>
    <w:rsid w:val="00D36F4F"/>
    <w:rsid w:val="00D40191"/>
    <w:rsid w:val="00D46CBE"/>
    <w:rsid w:val="00D47B88"/>
    <w:rsid w:val="00D57B6E"/>
    <w:rsid w:val="00D57FFC"/>
    <w:rsid w:val="00D6467E"/>
    <w:rsid w:val="00D715AE"/>
    <w:rsid w:val="00D7637B"/>
    <w:rsid w:val="00D77A9A"/>
    <w:rsid w:val="00D80227"/>
    <w:rsid w:val="00D900BD"/>
    <w:rsid w:val="00D92AF3"/>
    <w:rsid w:val="00D94226"/>
    <w:rsid w:val="00DA1372"/>
    <w:rsid w:val="00DA1AFC"/>
    <w:rsid w:val="00DA5244"/>
    <w:rsid w:val="00DB6B4D"/>
    <w:rsid w:val="00DC3224"/>
    <w:rsid w:val="00DE4CAC"/>
    <w:rsid w:val="00DF0A32"/>
    <w:rsid w:val="00DF3F39"/>
    <w:rsid w:val="00DF4ACA"/>
    <w:rsid w:val="00DF6ABD"/>
    <w:rsid w:val="00E057B9"/>
    <w:rsid w:val="00E179B3"/>
    <w:rsid w:val="00E267E1"/>
    <w:rsid w:val="00E27EE7"/>
    <w:rsid w:val="00E35037"/>
    <w:rsid w:val="00E43B81"/>
    <w:rsid w:val="00E44A60"/>
    <w:rsid w:val="00E52B85"/>
    <w:rsid w:val="00E57FE0"/>
    <w:rsid w:val="00E64205"/>
    <w:rsid w:val="00E70F8D"/>
    <w:rsid w:val="00E7242B"/>
    <w:rsid w:val="00E80430"/>
    <w:rsid w:val="00E85832"/>
    <w:rsid w:val="00E85EC7"/>
    <w:rsid w:val="00E91790"/>
    <w:rsid w:val="00EA386E"/>
    <w:rsid w:val="00EB73F6"/>
    <w:rsid w:val="00ED6F22"/>
    <w:rsid w:val="00EF3BC1"/>
    <w:rsid w:val="00EF535E"/>
    <w:rsid w:val="00EF5B71"/>
    <w:rsid w:val="00F05101"/>
    <w:rsid w:val="00F21347"/>
    <w:rsid w:val="00F229E6"/>
    <w:rsid w:val="00F23B6E"/>
    <w:rsid w:val="00F328E9"/>
    <w:rsid w:val="00F3340A"/>
    <w:rsid w:val="00F36C8C"/>
    <w:rsid w:val="00F36F97"/>
    <w:rsid w:val="00F3706F"/>
    <w:rsid w:val="00F37267"/>
    <w:rsid w:val="00F746EB"/>
    <w:rsid w:val="00F80595"/>
    <w:rsid w:val="00F979B1"/>
    <w:rsid w:val="00FB2EA2"/>
    <w:rsid w:val="00FC0BDA"/>
    <w:rsid w:val="00FC64BA"/>
    <w:rsid w:val="00FD1B4A"/>
    <w:rsid w:val="00FD2537"/>
    <w:rsid w:val="00FD448F"/>
    <w:rsid w:val="00FD5C8C"/>
    <w:rsid w:val="00FD65B9"/>
    <w:rsid w:val="00FE2E9B"/>
    <w:rsid w:val="00FE5093"/>
    <w:rsid w:val="00FF1BCC"/>
    <w:rsid w:val="121F0942"/>
    <w:rsid w:val="20906A51"/>
    <w:rsid w:val="2A563A6E"/>
    <w:rsid w:val="31732286"/>
    <w:rsid w:val="43D373DE"/>
    <w:rsid w:val="7D2A7615"/>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8">
    <w:name w:val="页眉 Char"/>
    <w:basedOn w:val="5"/>
    <w:link w:val="4"/>
    <w:qFormat/>
    <w:uiPriority w:val="0"/>
    <w:rPr>
      <w:kern w:val="2"/>
      <w:sz w:val="18"/>
      <w:szCs w:val="18"/>
    </w:rPr>
  </w:style>
  <w:style w:type="character" w:customStyle="1" w:styleId="9">
    <w:name w:val="页脚 Char"/>
    <w:basedOn w:val="5"/>
    <w:link w:val="3"/>
    <w:qFormat/>
    <w:uiPriority w:val="99"/>
    <w:rPr>
      <w:kern w:val="2"/>
      <w:sz w:val="18"/>
      <w:szCs w:val="18"/>
    </w:rPr>
  </w:style>
  <w:style w:type="character" w:customStyle="1" w:styleId="10">
    <w:name w:val="批注框文本 Char"/>
    <w:basedOn w:val="5"/>
    <w:link w:val="2"/>
    <w:semiHidden/>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1018</Words>
  <Characters>5803</Characters>
  <Lines>48</Lines>
  <Paragraphs>13</Paragraphs>
  <TotalTime>0</TotalTime>
  <ScaleCrop>false</ScaleCrop>
  <LinksUpToDate>false</LinksUpToDate>
  <CharactersWithSpaces>0</CharactersWithSpaces>
  <Application>WPS Office 专业版_9.1.0.5343_F1E327BC-269C-435d-A152-05C5408002CA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2022-03-06T08:25:00Z</dcterms:created>
  <dc:creator>周晖</dc:creator>
  <cp:lastModifiedBy>Administrator</cp:lastModifiedBy>
  <cp:lastPrinted>2022-03-30T09:41:00Z</cp:lastPrinted>
  <dcterms:modified xsi:type="dcterms:W3CDTF">2022-04-19T07:19:21Z</dcterms:modified>
  <dc:title>附件2</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2052-9.1.0.5343</vt:lpwstr>
  </property>
</Properties>
</file>