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四</w:t>
      </w:r>
      <w:bookmarkStart w:id="0" w:name="_GoBack"/>
      <w:bookmarkEnd w:id="0"/>
      <w:r>
        <w:rPr>
          <w:rFonts w:hint="eastAsia" w:ascii="黑体" w:hAnsi="黑体" w:eastAsia="黑体"/>
          <w:sz w:val="32"/>
          <w:szCs w:val="32"/>
          <w:lang w:val="en-US" w:eastAsia="zh-CN"/>
        </w:rPr>
        <w:t xml:space="preserve"> </w:t>
      </w:r>
      <w:r>
        <w:rPr>
          <w:rFonts w:hint="eastAsia" w:ascii="黑体" w:hAnsi="黑体" w:eastAsia="黑体"/>
          <w:sz w:val="32"/>
          <w:szCs w:val="32"/>
        </w:rPr>
        <w:t>（2）</w:t>
      </w:r>
    </w:p>
    <w:tbl>
      <w:tblPr>
        <w:tblStyle w:val="4"/>
        <w:tblW w:w="9782" w:type="dxa"/>
        <w:tblInd w:w="-318" w:type="dxa"/>
        <w:tblLayout w:type="autofit"/>
        <w:tblCellMar>
          <w:top w:w="0" w:type="dxa"/>
          <w:left w:w="108" w:type="dxa"/>
          <w:bottom w:w="0" w:type="dxa"/>
          <w:right w:w="108" w:type="dxa"/>
        </w:tblCellMar>
      </w:tblPr>
      <w:tblGrid>
        <w:gridCol w:w="616"/>
        <w:gridCol w:w="1590"/>
        <w:gridCol w:w="5735"/>
        <w:gridCol w:w="1841"/>
      </w:tblGrid>
      <w:tr>
        <w:tblPrEx>
          <w:tblCellMar>
            <w:top w:w="0" w:type="dxa"/>
            <w:left w:w="108" w:type="dxa"/>
            <w:bottom w:w="0" w:type="dxa"/>
            <w:right w:w="108" w:type="dxa"/>
          </w:tblCellMar>
        </w:tblPrEx>
        <w:trPr>
          <w:trHeight w:val="375" w:hRule="atLeast"/>
        </w:trPr>
        <w:tc>
          <w:tcPr>
            <w:tcW w:w="9782" w:type="dxa"/>
            <w:gridSpan w:val="4"/>
            <w:tcBorders>
              <w:top w:val="nil"/>
              <w:left w:val="nil"/>
              <w:bottom w:val="nil"/>
              <w:right w:val="nil"/>
            </w:tcBorders>
            <w:shd w:val="clear" w:color="auto" w:fill="auto"/>
            <w:vAlign w:val="center"/>
          </w:tcPr>
          <w:p>
            <w:pPr>
              <w:widowControl/>
              <w:jc w:val="center"/>
              <w:rPr>
                <w:rFonts w:ascii="黑体" w:hAnsi="黑体" w:eastAsia="黑体" w:cs="宋体"/>
                <w:kern w:val="0"/>
                <w:sz w:val="28"/>
                <w:szCs w:val="28"/>
              </w:rPr>
            </w:pPr>
            <w:r>
              <w:rPr>
                <w:rFonts w:hint="eastAsia" w:ascii="黑体" w:hAnsi="黑体" w:eastAsia="黑体" w:cs="宋体"/>
                <w:kern w:val="0"/>
                <w:sz w:val="28"/>
                <w:szCs w:val="28"/>
              </w:rPr>
              <w:t>其他项目报备资料一览表</w:t>
            </w:r>
          </w:p>
        </w:tc>
      </w:tr>
      <w:tr>
        <w:tblPrEx>
          <w:tblCellMar>
            <w:top w:w="0" w:type="dxa"/>
            <w:left w:w="108" w:type="dxa"/>
            <w:bottom w:w="0" w:type="dxa"/>
            <w:right w:w="108" w:type="dxa"/>
          </w:tblCellMar>
        </w:tblPrEx>
        <w:trPr>
          <w:trHeight w:val="270"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15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事项</w:t>
            </w:r>
          </w:p>
        </w:tc>
        <w:tc>
          <w:tcPr>
            <w:tcW w:w="573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附   报  资  料</w:t>
            </w:r>
          </w:p>
        </w:tc>
        <w:tc>
          <w:tcPr>
            <w:tcW w:w="18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20"/>
                <w:szCs w:val="20"/>
              </w:rPr>
            </w:pPr>
            <w:r>
              <w:rPr>
                <w:rFonts w:hint="eastAsia" w:ascii="宋体" w:hAnsi="宋体" w:cs="宋体"/>
                <w:b/>
                <w:bCs/>
                <w:kern w:val="0"/>
                <w:sz w:val="20"/>
                <w:szCs w:val="20"/>
              </w:rPr>
              <w:t>政策依据</w:t>
            </w:r>
          </w:p>
        </w:tc>
      </w:tr>
      <w:tr>
        <w:trPr>
          <w:trHeight w:val="144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政策性搬迁</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2、政府搬迁文件或公告；</w:t>
            </w:r>
            <w:r>
              <w:rPr>
                <w:rFonts w:hint="eastAsia" w:ascii="宋体" w:hAnsi="宋体" w:cs="宋体"/>
                <w:kern w:val="0"/>
                <w:sz w:val="20"/>
                <w:szCs w:val="20"/>
              </w:rPr>
              <w:br w:type="textWrapping"/>
            </w:r>
            <w:r>
              <w:rPr>
                <w:rFonts w:hint="eastAsia" w:ascii="宋体" w:hAnsi="宋体" w:cs="宋体"/>
                <w:kern w:val="0"/>
                <w:sz w:val="20"/>
                <w:szCs w:val="20"/>
              </w:rPr>
              <w:t>3、搬迁重置总体规划；</w:t>
            </w:r>
            <w:r>
              <w:rPr>
                <w:rFonts w:hint="eastAsia" w:ascii="宋体" w:hAnsi="宋体" w:cs="宋体"/>
                <w:kern w:val="0"/>
                <w:sz w:val="20"/>
                <w:szCs w:val="20"/>
              </w:rPr>
              <w:br w:type="textWrapping"/>
            </w:r>
            <w:r>
              <w:rPr>
                <w:rFonts w:hint="eastAsia" w:ascii="宋体" w:hAnsi="宋体" w:cs="宋体"/>
                <w:kern w:val="0"/>
                <w:sz w:val="20"/>
                <w:szCs w:val="20"/>
              </w:rPr>
              <w:t>4、拆迁补偿协议；</w:t>
            </w:r>
            <w:r>
              <w:rPr>
                <w:rFonts w:hint="eastAsia" w:ascii="宋体" w:hAnsi="宋体" w:cs="宋体"/>
                <w:kern w:val="0"/>
                <w:sz w:val="20"/>
                <w:szCs w:val="20"/>
              </w:rPr>
              <w:br w:type="textWrapping"/>
            </w:r>
            <w:r>
              <w:rPr>
                <w:rFonts w:hint="eastAsia" w:ascii="宋体" w:hAnsi="宋体" w:cs="宋体"/>
                <w:kern w:val="0"/>
                <w:sz w:val="20"/>
                <w:szCs w:val="20"/>
              </w:rPr>
              <w:t>5、资产处置计划；</w:t>
            </w:r>
            <w:r>
              <w:rPr>
                <w:rFonts w:hint="eastAsia" w:ascii="宋体" w:hAnsi="宋体" w:cs="宋体"/>
                <w:kern w:val="0"/>
                <w:sz w:val="20"/>
                <w:szCs w:val="20"/>
              </w:rPr>
              <w:br w:type="textWrapping"/>
            </w:r>
            <w:r>
              <w:rPr>
                <w:rFonts w:hint="eastAsia" w:ascii="宋体" w:hAnsi="宋体" w:cs="宋体"/>
                <w:kern w:val="0"/>
                <w:sz w:val="20"/>
                <w:szCs w:val="20"/>
              </w:rPr>
              <w:t>6、企业搬迁完成当年应同时报送《企业政策性搬迁清算损益表》</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国家税务总局公告2012年第40号、国家税务总局公告2013年第11号</w:t>
            </w:r>
          </w:p>
        </w:tc>
      </w:tr>
      <w:tr>
        <w:tblPrEx>
          <w:tblCellMar>
            <w:top w:w="0" w:type="dxa"/>
            <w:left w:w="108" w:type="dxa"/>
            <w:bottom w:w="0" w:type="dxa"/>
            <w:right w:w="108" w:type="dxa"/>
          </w:tblCellMar>
        </w:tblPrEx>
        <w:trPr>
          <w:trHeight w:val="72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非金融企业向非金融企业借款的利息支出</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2、在按照合同要求首次支付利息并进行税前扣除时，提供金融企业的同期同类贷款利率情况说明。</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国家税务总局公告2011年第34号</w:t>
            </w:r>
          </w:p>
        </w:tc>
      </w:tr>
      <w:tr>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子公司向母公司支付服务费用</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2、服务合同或者协议</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国税发【2008】第086号</w:t>
            </w:r>
          </w:p>
        </w:tc>
      </w:tr>
      <w:tr>
        <w:tblPrEx>
          <w:tblCellMar>
            <w:top w:w="0" w:type="dxa"/>
            <w:left w:w="108" w:type="dxa"/>
            <w:bottom w:w="0" w:type="dxa"/>
            <w:right w:w="108" w:type="dxa"/>
          </w:tblCellMar>
        </w:tblPrEx>
        <w:trPr>
          <w:trHeight w:val="120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手续费及佣金支出</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2、服务协议或合同；</w:t>
            </w:r>
            <w:r>
              <w:rPr>
                <w:rFonts w:hint="eastAsia" w:ascii="宋体" w:hAnsi="宋体" w:cs="宋体"/>
                <w:kern w:val="0"/>
                <w:sz w:val="20"/>
                <w:szCs w:val="20"/>
              </w:rPr>
              <w:br w:type="textWrapping"/>
            </w:r>
            <w:r>
              <w:rPr>
                <w:rFonts w:hint="eastAsia" w:ascii="宋体" w:hAnsi="宋体" w:cs="宋体"/>
                <w:kern w:val="0"/>
                <w:sz w:val="20"/>
                <w:szCs w:val="20"/>
              </w:rPr>
              <w:t>3、支付方式证明材料（向非个人为转账凭证等，向个人支付为对方收款凭证）；</w:t>
            </w:r>
            <w:r>
              <w:rPr>
                <w:rFonts w:hint="eastAsia" w:ascii="宋体" w:hAnsi="宋体" w:cs="宋体"/>
                <w:kern w:val="0"/>
                <w:sz w:val="20"/>
                <w:szCs w:val="20"/>
              </w:rPr>
              <w:br w:type="textWrapping"/>
            </w:r>
            <w:r>
              <w:rPr>
                <w:rFonts w:hint="eastAsia" w:ascii="宋体" w:hAnsi="宋体" w:cs="宋体"/>
                <w:kern w:val="0"/>
                <w:sz w:val="20"/>
                <w:szCs w:val="20"/>
              </w:rPr>
              <w:t>4、当年手续费及佣金计算分配表；</w:t>
            </w:r>
            <w:r>
              <w:rPr>
                <w:rFonts w:hint="eastAsia" w:ascii="宋体" w:hAnsi="宋体" w:cs="宋体"/>
                <w:kern w:val="0"/>
                <w:sz w:val="20"/>
                <w:szCs w:val="20"/>
              </w:rPr>
              <w:br w:type="textWrapping"/>
            </w:r>
            <w:r>
              <w:rPr>
                <w:rFonts w:hint="eastAsia" w:ascii="宋体" w:hAnsi="宋体" w:cs="宋体"/>
                <w:kern w:val="0"/>
                <w:sz w:val="20"/>
                <w:szCs w:val="20"/>
              </w:rPr>
              <w:t>5、合法真实税前扣除凭证（发票或代扣个人所得税凭证）。</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财税[2009]29号</w:t>
            </w:r>
          </w:p>
        </w:tc>
      </w:tr>
      <w:tr>
        <w:tblPrEx>
          <w:tblCellMar>
            <w:top w:w="0" w:type="dxa"/>
            <w:left w:w="108" w:type="dxa"/>
            <w:bottom w:w="0" w:type="dxa"/>
            <w:right w:w="108" w:type="dxa"/>
          </w:tblCellMar>
        </w:tblPrEx>
        <w:trPr>
          <w:trHeight w:val="72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有直接管理的项目部的跨地区经营建筑企业总机构</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2、跨地区经营项目部就地预缴税款的完税证明。</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国税函[2010]156号</w:t>
            </w:r>
          </w:p>
        </w:tc>
      </w:tr>
      <w:tr>
        <w:tblPrEx>
          <w:tblCellMar>
            <w:top w:w="0" w:type="dxa"/>
            <w:left w:w="108" w:type="dxa"/>
            <w:bottom w:w="0" w:type="dxa"/>
            <w:right w:w="108" w:type="dxa"/>
          </w:tblCellMar>
        </w:tblPrEx>
        <w:trPr>
          <w:trHeight w:val="120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中小企业信用担保机构准备金</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 xml:space="preserve">2、法人执照副本复印件；                    </w:t>
            </w:r>
            <w:r>
              <w:rPr>
                <w:rFonts w:hint="eastAsia" w:ascii="宋体" w:hAnsi="宋体" w:cs="宋体"/>
                <w:kern w:val="0"/>
                <w:sz w:val="20"/>
                <w:szCs w:val="20"/>
              </w:rPr>
              <w:br w:type="textWrapping"/>
            </w:r>
            <w:r>
              <w:rPr>
                <w:rFonts w:hint="eastAsia" w:ascii="宋体" w:hAnsi="宋体" w:cs="宋体"/>
                <w:kern w:val="0"/>
                <w:sz w:val="20"/>
                <w:szCs w:val="20"/>
              </w:rPr>
              <w:t xml:space="preserve">3、融资性担保机构监管部门颁发的经营许可证复印件;                                                  </w:t>
            </w:r>
            <w:r>
              <w:rPr>
                <w:rFonts w:hint="eastAsia" w:ascii="宋体" w:hAnsi="宋体" w:cs="宋体"/>
                <w:kern w:val="0"/>
                <w:sz w:val="20"/>
                <w:szCs w:val="20"/>
              </w:rPr>
              <w:br w:type="textWrapping"/>
            </w:r>
            <w:r>
              <w:rPr>
                <w:rFonts w:hint="eastAsia" w:ascii="宋体" w:hAnsi="宋体" w:cs="宋体"/>
                <w:kern w:val="0"/>
                <w:sz w:val="20"/>
                <w:szCs w:val="20"/>
              </w:rPr>
              <w:t>4、具有资质的中介机构鉴证的年度会计报表和担保业务情况（包括担保业务明细和风险准备金提取等）。</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财税[2012]25号</w:t>
            </w:r>
          </w:p>
        </w:tc>
      </w:tr>
      <w:tr>
        <w:tblPrEx>
          <w:tblCellMar>
            <w:top w:w="0" w:type="dxa"/>
            <w:left w:w="108" w:type="dxa"/>
            <w:bottom w:w="0" w:type="dxa"/>
            <w:right w:w="108" w:type="dxa"/>
          </w:tblCellMar>
        </w:tblPrEx>
        <w:trPr>
          <w:trHeight w:val="72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保险公司农业巨灾风险准备金</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1、《其他项目报送资料受理表》（一般事项）2份；</w:t>
            </w:r>
            <w:r>
              <w:rPr>
                <w:rFonts w:hint="eastAsia" w:ascii="宋体" w:hAnsi="宋体" w:cs="宋体"/>
                <w:kern w:val="0"/>
                <w:sz w:val="20"/>
                <w:szCs w:val="20"/>
              </w:rPr>
              <w:br w:type="textWrapping"/>
            </w:r>
            <w:r>
              <w:rPr>
                <w:rFonts w:hint="eastAsia" w:ascii="宋体" w:hAnsi="宋体" w:cs="宋体"/>
                <w:kern w:val="0"/>
                <w:sz w:val="20"/>
                <w:szCs w:val="20"/>
              </w:rPr>
              <w:t xml:space="preserve">2、巨灾风险准备金提取、使用情况的说明;          </w:t>
            </w:r>
            <w:r>
              <w:rPr>
                <w:rFonts w:hint="eastAsia" w:ascii="宋体" w:hAnsi="宋体" w:cs="宋体"/>
                <w:kern w:val="0"/>
                <w:sz w:val="20"/>
                <w:szCs w:val="20"/>
              </w:rPr>
              <w:br w:type="textWrapping"/>
            </w:r>
            <w:r>
              <w:rPr>
                <w:rFonts w:hint="eastAsia" w:ascii="宋体" w:hAnsi="宋体" w:cs="宋体"/>
                <w:kern w:val="0"/>
                <w:sz w:val="20"/>
                <w:szCs w:val="20"/>
              </w:rPr>
              <w:t>3、巨灾风险准备金扣除相关报表。</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财税[2012]23号</w:t>
            </w:r>
          </w:p>
        </w:tc>
      </w:tr>
      <w:tr>
        <w:tblPrEx>
          <w:tblCellMar>
            <w:top w:w="0" w:type="dxa"/>
            <w:left w:w="108" w:type="dxa"/>
            <w:bottom w:w="0" w:type="dxa"/>
            <w:right w:w="108" w:type="dxa"/>
          </w:tblCellMar>
        </w:tblPrEx>
        <w:trPr>
          <w:trHeight w:val="3360"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59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房地产开发企业开发产品完工年度</w:t>
            </w:r>
          </w:p>
        </w:tc>
        <w:tc>
          <w:tcPr>
            <w:tcW w:w="573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1、《其他项目报送资料受理表》（房地产开发企业）2份；</w:t>
            </w:r>
            <w:r>
              <w:rPr>
                <w:rFonts w:hint="eastAsia" w:ascii="宋体" w:hAnsi="宋体" w:cs="宋体"/>
                <w:kern w:val="0"/>
                <w:sz w:val="20"/>
                <w:szCs w:val="20"/>
              </w:rPr>
              <w:br w:type="textWrapping"/>
            </w:r>
            <w:r>
              <w:rPr>
                <w:rFonts w:hint="eastAsia" w:ascii="宋体" w:hAnsi="宋体" w:cs="宋体"/>
                <w:kern w:val="0"/>
                <w:sz w:val="20"/>
                <w:szCs w:val="20"/>
              </w:rPr>
              <w:t>2、项目开发产品实际毛利额与预计毛利额之间差异调整情况的报告，报告应包括但不限于以下内容：</w:t>
            </w:r>
            <w:r>
              <w:rPr>
                <w:rFonts w:hint="eastAsia" w:ascii="宋体" w:hAnsi="宋体" w:cs="宋体"/>
                <w:kern w:val="0"/>
                <w:sz w:val="20"/>
                <w:szCs w:val="20"/>
              </w:rPr>
              <w:br w:type="textWrapping"/>
            </w:r>
            <w:r>
              <w:rPr>
                <w:rFonts w:hint="eastAsia" w:ascii="宋体" w:hAnsi="宋体" w:cs="宋体"/>
                <w:kern w:val="0"/>
                <w:sz w:val="20"/>
                <w:szCs w:val="20"/>
              </w:rPr>
              <w:t>①开发企业基本情况，包括企业资质等级、资质有效期、从业人数、法人代表、出资方、关联方有关情况等；</w:t>
            </w:r>
            <w:r>
              <w:rPr>
                <w:rFonts w:hint="eastAsia" w:ascii="宋体" w:hAnsi="宋体" w:cs="宋体"/>
                <w:kern w:val="0"/>
                <w:sz w:val="20"/>
                <w:szCs w:val="20"/>
              </w:rPr>
              <w:br w:type="textWrapping"/>
            </w:r>
            <w:r>
              <w:rPr>
                <w:rFonts w:hint="eastAsia" w:ascii="宋体" w:hAnsi="宋体" w:cs="宋体"/>
                <w:kern w:val="0"/>
                <w:sz w:val="20"/>
                <w:szCs w:val="20"/>
              </w:rPr>
              <w:t>②开发项目基本情况，包括开发项目名称、地理位置及概况、占地面积、容积率、绿化率、开发用途、初始开发时间、完工时间、销售情况、销售方式、销售费用（含佣金或手续费，尤其是委托境外机构销售费用结算情况）、配套设施的归属及核算、停车场所的核算、企业的融资情况（包括企业境外融资）、利息的核算及支付情况等；</w:t>
            </w:r>
            <w:r>
              <w:rPr>
                <w:rFonts w:hint="eastAsia" w:ascii="宋体" w:hAnsi="宋体" w:cs="宋体"/>
                <w:kern w:val="0"/>
                <w:sz w:val="20"/>
                <w:szCs w:val="20"/>
              </w:rPr>
              <w:br w:type="textWrapping"/>
            </w:r>
            <w:r>
              <w:rPr>
                <w:rFonts w:hint="eastAsia" w:ascii="宋体" w:hAnsi="宋体" w:cs="宋体"/>
                <w:kern w:val="0"/>
                <w:sz w:val="20"/>
                <w:szCs w:val="20"/>
              </w:rPr>
              <w:t>③《房地产开发企业本年共同（间接）成本分摊明细表》、《房地产开发项目完工对象会计成本、计税成本调整计算明细表》、《房地产开发企业预提费用明细表》；</w:t>
            </w:r>
            <w:r>
              <w:rPr>
                <w:rFonts w:hint="eastAsia" w:ascii="宋体" w:hAnsi="宋体" w:cs="宋体"/>
                <w:kern w:val="0"/>
                <w:sz w:val="20"/>
                <w:szCs w:val="20"/>
              </w:rPr>
              <w:br w:type="textWrapping"/>
            </w:r>
            <w:r>
              <w:rPr>
                <w:rFonts w:hint="eastAsia" w:ascii="宋体" w:hAnsi="宋体" w:cs="宋体"/>
                <w:kern w:val="0"/>
                <w:sz w:val="20"/>
                <w:szCs w:val="20"/>
              </w:rPr>
              <w:t>④非货币性交易、关联方交易、其他涉及纳税调整的事项、纳税调整金额。</w:t>
            </w:r>
            <w:r>
              <w:rPr>
                <w:rFonts w:hint="eastAsia" w:ascii="宋体" w:hAnsi="宋体" w:cs="宋体"/>
                <w:kern w:val="0"/>
                <w:sz w:val="20"/>
                <w:szCs w:val="20"/>
              </w:rPr>
              <w:br w:type="textWrapping"/>
            </w:r>
            <w:r>
              <w:rPr>
                <w:rFonts w:hint="eastAsia" w:ascii="宋体" w:hAnsi="宋体" w:cs="宋体"/>
                <w:kern w:val="0"/>
                <w:sz w:val="20"/>
                <w:szCs w:val="20"/>
              </w:rPr>
              <w:t>3、依据计税成本对象确定原则确定的已完工开发产品成本对象，确定原则、依据，共同成本分配原则、方法，以及开发项目基本情况、开发计划等专项报告。</w:t>
            </w:r>
          </w:p>
        </w:tc>
        <w:tc>
          <w:tcPr>
            <w:tcW w:w="184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国税发[2009]31号、苏国税发[2009]79号</w:t>
            </w:r>
          </w:p>
        </w:tc>
      </w:tr>
      <w:tr>
        <w:tblPrEx>
          <w:tblCellMar>
            <w:top w:w="0" w:type="dxa"/>
            <w:left w:w="108" w:type="dxa"/>
            <w:bottom w:w="0" w:type="dxa"/>
            <w:right w:w="108" w:type="dxa"/>
          </w:tblCellMar>
        </w:tblPrEx>
        <w:trPr>
          <w:trHeight w:val="192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房地产企业经济适用房</w:t>
            </w:r>
          </w:p>
        </w:tc>
        <w:tc>
          <w:tcPr>
            <w:tcW w:w="5735"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1、《其他项目报送资料受理表》（房地产开发企业）2份</w:t>
            </w:r>
            <w:r>
              <w:rPr>
                <w:rFonts w:hint="eastAsia" w:ascii="宋体" w:hAnsi="宋体" w:cs="宋体"/>
                <w:kern w:val="0"/>
                <w:sz w:val="20"/>
                <w:szCs w:val="20"/>
              </w:rPr>
              <w:br w:type="textWrapping"/>
            </w:r>
            <w:r>
              <w:rPr>
                <w:rFonts w:hint="eastAsia" w:ascii="宋体" w:hAnsi="宋体" w:cs="宋体"/>
                <w:kern w:val="0"/>
                <w:sz w:val="20"/>
                <w:szCs w:val="20"/>
              </w:rPr>
              <w:t>2、立项批准机关对经济适用住房立项的批准文件；</w:t>
            </w:r>
            <w:r>
              <w:rPr>
                <w:rFonts w:hint="eastAsia" w:ascii="宋体" w:hAnsi="宋体" w:cs="宋体"/>
                <w:kern w:val="0"/>
                <w:sz w:val="20"/>
                <w:szCs w:val="20"/>
              </w:rPr>
              <w:br w:type="textWrapping"/>
            </w:r>
            <w:r>
              <w:rPr>
                <w:rFonts w:hint="eastAsia" w:ascii="宋体" w:hAnsi="宋体" w:cs="宋体"/>
                <w:kern w:val="0"/>
                <w:sz w:val="20"/>
                <w:szCs w:val="20"/>
              </w:rPr>
              <w:t>3、土地管理部门划拨土地的批准文件；</w:t>
            </w:r>
            <w:r>
              <w:rPr>
                <w:rFonts w:hint="eastAsia" w:ascii="宋体" w:hAnsi="宋体" w:cs="宋体"/>
                <w:kern w:val="0"/>
                <w:sz w:val="20"/>
                <w:szCs w:val="20"/>
              </w:rPr>
              <w:br w:type="textWrapping"/>
            </w:r>
            <w:r>
              <w:rPr>
                <w:rFonts w:hint="eastAsia" w:ascii="宋体" w:hAnsi="宋体" w:cs="宋体"/>
                <w:kern w:val="0"/>
                <w:sz w:val="20"/>
                <w:szCs w:val="20"/>
              </w:rPr>
              <w:t>4、物价部门核定的有关经济适用住房销售价格的批件；</w:t>
            </w:r>
            <w:r>
              <w:rPr>
                <w:rFonts w:hint="eastAsia" w:ascii="宋体" w:hAnsi="宋体" w:cs="宋体"/>
                <w:kern w:val="0"/>
                <w:sz w:val="20"/>
                <w:szCs w:val="20"/>
              </w:rPr>
              <w:br w:type="textWrapping"/>
            </w:r>
            <w:r>
              <w:rPr>
                <w:rFonts w:hint="eastAsia" w:ascii="宋体" w:hAnsi="宋体" w:cs="宋体"/>
                <w:kern w:val="0"/>
                <w:sz w:val="20"/>
                <w:szCs w:val="20"/>
              </w:rPr>
              <w:t>5、住房保障主管部门为低收入住房困难家庭出具的购房资格证明；</w:t>
            </w:r>
            <w:r>
              <w:rPr>
                <w:rFonts w:hint="eastAsia" w:ascii="宋体" w:hAnsi="宋体" w:cs="宋体"/>
                <w:kern w:val="0"/>
                <w:sz w:val="20"/>
                <w:szCs w:val="20"/>
              </w:rPr>
              <w:br w:type="textWrapping"/>
            </w:r>
            <w:r>
              <w:rPr>
                <w:rFonts w:hint="eastAsia" w:ascii="宋体" w:hAnsi="宋体" w:cs="宋体"/>
                <w:kern w:val="0"/>
                <w:sz w:val="20"/>
                <w:szCs w:val="20"/>
              </w:rPr>
              <w:t xml:space="preserve">6、列明该项目的省、市、县级人民政府关于经济适用住房建设投资计划； </w:t>
            </w:r>
            <w:r>
              <w:rPr>
                <w:rFonts w:hint="eastAsia" w:ascii="宋体" w:hAnsi="宋体" w:cs="宋体"/>
                <w:kern w:val="0"/>
                <w:sz w:val="20"/>
                <w:szCs w:val="20"/>
              </w:rPr>
              <w:br w:type="textWrapping"/>
            </w:r>
            <w:r>
              <w:rPr>
                <w:rFonts w:hint="eastAsia" w:ascii="宋体" w:hAnsi="宋体" w:cs="宋体"/>
                <w:kern w:val="0"/>
                <w:sz w:val="20"/>
                <w:szCs w:val="20"/>
              </w:rPr>
              <w:t>7、经济适用住房销售清册（包括购房人姓名和身份证号码、准购面积、合同号、订立合同日期、楼栋号、实际购买面积、单价、销售金额）。</w:t>
            </w:r>
          </w:p>
        </w:tc>
        <w:tc>
          <w:tcPr>
            <w:tcW w:w="184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国税发[2009]31号、苏国税发[2009]79号</w:t>
            </w:r>
          </w:p>
        </w:tc>
      </w:tr>
      <w:tr>
        <w:tblPrEx>
          <w:tblCellMar>
            <w:top w:w="0" w:type="dxa"/>
            <w:left w:w="108" w:type="dxa"/>
            <w:bottom w:w="0" w:type="dxa"/>
            <w:right w:w="108" w:type="dxa"/>
          </w:tblCellMar>
        </w:tblPrEx>
        <w:trPr>
          <w:trHeight w:val="120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房地产企业限价房和危改房</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1、《其他项目报送资料受理表》（房地产开发企业）2份</w:t>
            </w:r>
            <w:r>
              <w:rPr>
                <w:rFonts w:hint="eastAsia" w:ascii="宋体" w:hAnsi="宋体" w:cs="宋体"/>
                <w:kern w:val="0"/>
                <w:sz w:val="20"/>
                <w:szCs w:val="20"/>
              </w:rPr>
              <w:br w:type="textWrapping"/>
            </w:r>
            <w:r>
              <w:rPr>
                <w:rFonts w:hint="eastAsia" w:ascii="宋体" w:hAnsi="宋体" w:cs="宋体"/>
                <w:kern w:val="0"/>
                <w:sz w:val="20"/>
                <w:szCs w:val="20"/>
              </w:rPr>
              <w:t>2、《国有建设用地使用权出让合同》和政府主管部门出具的其他能证明限价房和危改房的证明文件；</w:t>
            </w:r>
            <w:r>
              <w:rPr>
                <w:rFonts w:hint="eastAsia" w:ascii="宋体" w:hAnsi="宋体" w:cs="宋体"/>
                <w:kern w:val="0"/>
                <w:sz w:val="20"/>
                <w:szCs w:val="20"/>
              </w:rPr>
              <w:br w:type="textWrapping"/>
            </w:r>
            <w:r>
              <w:rPr>
                <w:rFonts w:hint="eastAsia" w:ascii="宋体" w:hAnsi="宋体" w:cs="宋体"/>
                <w:kern w:val="0"/>
                <w:sz w:val="20"/>
                <w:szCs w:val="20"/>
              </w:rPr>
              <w:t>3、限价房和危改房销售清册（包括购房人姓名和身份证号码、准购面积、合同号、订立合同日期、楼栋号、实际购买面积、单价、销售金额）。</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国税发[2009]31号、苏国税发[2009]79号</w:t>
            </w:r>
          </w:p>
        </w:tc>
      </w:tr>
      <w:tr>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1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企业发现以前年度应扣未扣的支出专项申报及说明</w:t>
            </w:r>
          </w:p>
        </w:tc>
        <w:tc>
          <w:tcPr>
            <w:tcW w:w="573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1、《其他项目报送资料受理表》（房地产开发企业）2份</w:t>
            </w:r>
            <w:r>
              <w:rPr>
                <w:rFonts w:hint="eastAsia" w:ascii="宋体" w:hAnsi="宋体" w:cs="宋体"/>
                <w:kern w:val="0"/>
                <w:sz w:val="20"/>
                <w:szCs w:val="20"/>
              </w:rPr>
              <w:br w:type="textWrapping"/>
            </w:r>
            <w:r>
              <w:rPr>
                <w:rFonts w:hint="eastAsia" w:ascii="宋体" w:hAnsi="宋体" w:cs="宋体"/>
                <w:kern w:val="0"/>
                <w:sz w:val="20"/>
                <w:szCs w:val="20"/>
              </w:rPr>
              <w:t>2、专项说明（包括以前年度应扣未扣项目、原因、金额、税前扣除的所属年度、会计处理、对所属年度所得税的影响额（增加亏损、涉及减免税的应详细说明））。</w:t>
            </w:r>
          </w:p>
        </w:tc>
        <w:tc>
          <w:tcPr>
            <w:tcW w:w="18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国家税务总局2012年第15号公告</w:t>
            </w:r>
          </w:p>
        </w:tc>
      </w:tr>
      <w:tr>
        <w:tblPrEx>
          <w:tblCellMar>
            <w:top w:w="0" w:type="dxa"/>
            <w:left w:w="108" w:type="dxa"/>
            <w:bottom w:w="0" w:type="dxa"/>
            <w:right w:w="108" w:type="dxa"/>
          </w:tblCellMar>
        </w:tblPrEx>
        <w:trPr>
          <w:trHeight w:val="10950"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12</w:t>
            </w:r>
          </w:p>
        </w:tc>
        <w:tc>
          <w:tcPr>
            <w:tcW w:w="159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境外抵免</w:t>
            </w:r>
          </w:p>
        </w:tc>
        <w:tc>
          <w:tcPr>
            <w:tcW w:w="573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1、《其他项目报送资料受理表》（境外抵免）2份；</w:t>
            </w:r>
            <w:r>
              <w:rPr>
                <w:rFonts w:hint="eastAsia" w:ascii="宋体" w:hAnsi="宋体" w:cs="宋体"/>
                <w:kern w:val="0"/>
                <w:sz w:val="20"/>
                <w:szCs w:val="20"/>
              </w:rPr>
              <w:br w:type="textWrapping"/>
            </w:r>
            <w:r>
              <w:rPr>
                <w:rFonts w:hint="eastAsia" w:ascii="宋体" w:hAnsi="宋体" w:cs="宋体"/>
                <w:kern w:val="0"/>
                <w:sz w:val="20"/>
                <w:szCs w:val="20"/>
              </w:rPr>
              <w:t>2、经确认的境内、外共同支出分摊比例及分摊情况说明（分摊比例确定后报送）；</w:t>
            </w:r>
            <w:r>
              <w:rPr>
                <w:rFonts w:hint="eastAsia" w:ascii="宋体" w:hAnsi="宋体" w:cs="宋体"/>
                <w:kern w:val="0"/>
                <w:sz w:val="20"/>
                <w:szCs w:val="20"/>
              </w:rPr>
              <w:br w:type="textWrapping"/>
            </w:r>
            <w:r>
              <w:rPr>
                <w:rFonts w:hint="eastAsia" w:ascii="宋体" w:hAnsi="宋体" w:cs="宋体"/>
                <w:kern w:val="0"/>
                <w:sz w:val="20"/>
                <w:szCs w:val="20"/>
              </w:rPr>
              <w:t>3、与境外所得相关的完税证明或纳税凭证（原件或复印件）；</w:t>
            </w:r>
            <w:r>
              <w:rPr>
                <w:rFonts w:hint="eastAsia" w:ascii="宋体" w:hAnsi="宋体" w:cs="宋体"/>
                <w:kern w:val="0"/>
                <w:sz w:val="20"/>
                <w:szCs w:val="20"/>
              </w:rPr>
              <w:br w:type="textWrapping"/>
            </w:r>
            <w:r>
              <w:rPr>
                <w:rFonts w:hint="eastAsia" w:ascii="宋体" w:hAnsi="宋体" w:cs="宋体"/>
                <w:kern w:val="0"/>
                <w:sz w:val="20"/>
                <w:szCs w:val="20"/>
              </w:rPr>
              <w:t>4、不同类型的境外所得申报税收抵免还需分别提供：</w:t>
            </w:r>
            <w:r>
              <w:rPr>
                <w:rFonts w:hint="eastAsia" w:ascii="宋体" w:hAnsi="宋体" w:cs="宋体"/>
                <w:kern w:val="0"/>
                <w:sz w:val="20"/>
                <w:szCs w:val="20"/>
              </w:rPr>
              <w:br w:type="textWrapping"/>
            </w:r>
            <w:r>
              <w:rPr>
                <w:rFonts w:hint="eastAsia" w:ascii="宋体" w:hAnsi="宋体" w:cs="宋体"/>
                <w:kern w:val="0"/>
                <w:sz w:val="20"/>
                <w:szCs w:val="20"/>
              </w:rPr>
              <w:t>（1）取得境外分支机构的营业利润所得需提供境外分支机构会计报表；境外分支机构所得依照中国境内企业所得税法及实施条例的规定计算的应纳税额的计算过程及说明资料；具有资质的机构出具的有关分支机构审计报告等；</w:t>
            </w:r>
            <w:r>
              <w:rPr>
                <w:rFonts w:hint="eastAsia" w:ascii="宋体" w:hAnsi="宋体" w:cs="宋体"/>
                <w:kern w:val="0"/>
                <w:sz w:val="20"/>
                <w:szCs w:val="20"/>
              </w:rPr>
              <w:br w:type="textWrapping"/>
            </w:r>
            <w:r>
              <w:rPr>
                <w:rFonts w:hint="eastAsia" w:ascii="宋体" w:hAnsi="宋体" w:cs="宋体"/>
                <w:kern w:val="0"/>
                <w:sz w:val="20"/>
                <w:szCs w:val="20"/>
              </w:rPr>
              <w:t>（2）取得境外股息、红利所得需提供集团组织架构图；被投资公司章程复印件；境外企业有权决定利润分配的机构作出的决定书等；</w:t>
            </w:r>
            <w:r>
              <w:rPr>
                <w:rFonts w:hint="eastAsia" w:ascii="宋体" w:hAnsi="宋体" w:cs="宋体"/>
                <w:kern w:val="0"/>
                <w:sz w:val="20"/>
                <w:szCs w:val="20"/>
              </w:rPr>
              <w:br w:type="textWrapping"/>
            </w:r>
            <w:r>
              <w:rPr>
                <w:rFonts w:hint="eastAsia" w:ascii="宋体" w:hAnsi="宋体" w:cs="宋体"/>
                <w:kern w:val="0"/>
                <w:sz w:val="20"/>
                <w:szCs w:val="20"/>
              </w:rPr>
              <w:t>（3）取得境外利息、租金、特许权使用费、转让财产等所得需提供依照中国境内企业所得税法及实施条例规定计算的应纳税额的资料及计算过程；项目合同复印件等。</w:t>
            </w:r>
            <w:r>
              <w:rPr>
                <w:rFonts w:hint="eastAsia" w:ascii="宋体" w:hAnsi="宋体" w:cs="宋体"/>
                <w:kern w:val="0"/>
                <w:sz w:val="20"/>
                <w:szCs w:val="20"/>
              </w:rPr>
              <w:br w:type="textWrapping"/>
            </w:r>
            <w:r>
              <w:rPr>
                <w:rFonts w:hint="eastAsia" w:ascii="宋体" w:hAnsi="宋体" w:cs="宋体"/>
                <w:kern w:val="0"/>
                <w:sz w:val="20"/>
                <w:szCs w:val="20"/>
              </w:rPr>
              <w:t>5、申请享受税收饶让抵免的还需提供：</w:t>
            </w:r>
            <w:r>
              <w:rPr>
                <w:rFonts w:hint="eastAsia" w:ascii="宋体" w:hAnsi="宋体" w:cs="宋体"/>
                <w:kern w:val="0"/>
                <w:sz w:val="20"/>
                <w:szCs w:val="20"/>
              </w:rPr>
              <w:br w:type="textWrapping"/>
            </w:r>
            <w:r>
              <w:rPr>
                <w:rFonts w:hint="eastAsia" w:ascii="宋体" w:hAnsi="宋体" w:cs="宋体"/>
                <w:kern w:val="0"/>
                <w:sz w:val="20"/>
                <w:szCs w:val="20"/>
              </w:rPr>
              <w:t>（1）本企业及其直接或间接控制的外国企业在境外所获免税及减税的依据及证明或有关审计报告披露该企业享受的优惠政策的复印件；</w:t>
            </w:r>
            <w:r>
              <w:rPr>
                <w:rFonts w:hint="eastAsia" w:ascii="宋体" w:hAnsi="宋体" w:cs="宋体"/>
                <w:kern w:val="0"/>
                <w:sz w:val="20"/>
                <w:szCs w:val="20"/>
              </w:rPr>
              <w:br w:type="textWrapping"/>
            </w:r>
            <w:r>
              <w:rPr>
                <w:rFonts w:hint="eastAsia" w:ascii="宋体" w:hAnsi="宋体" w:cs="宋体"/>
                <w:kern w:val="0"/>
                <w:sz w:val="20"/>
                <w:szCs w:val="20"/>
              </w:rPr>
              <w:t>（2）企业在其直接或间接控制的外国企业的参股比例等情况的证明复印件；</w:t>
            </w:r>
            <w:r>
              <w:rPr>
                <w:rFonts w:hint="eastAsia" w:ascii="宋体" w:hAnsi="宋体" w:cs="宋体"/>
                <w:kern w:val="0"/>
                <w:sz w:val="20"/>
                <w:szCs w:val="20"/>
              </w:rPr>
              <w:br w:type="textWrapping"/>
            </w:r>
            <w:r>
              <w:rPr>
                <w:rFonts w:hint="eastAsia" w:ascii="宋体" w:hAnsi="宋体" w:cs="宋体"/>
                <w:kern w:val="0"/>
                <w:sz w:val="20"/>
                <w:szCs w:val="20"/>
              </w:rPr>
              <w:t>（3）间接抵免税额或者饶让抵免税额的计算过程；</w:t>
            </w:r>
            <w:r>
              <w:rPr>
                <w:rFonts w:hint="eastAsia" w:ascii="宋体" w:hAnsi="宋体" w:cs="宋体"/>
                <w:kern w:val="0"/>
                <w:sz w:val="20"/>
                <w:szCs w:val="20"/>
              </w:rPr>
              <w:br w:type="textWrapping"/>
            </w:r>
            <w:r>
              <w:rPr>
                <w:rFonts w:hint="eastAsia" w:ascii="宋体" w:hAnsi="宋体" w:cs="宋体"/>
                <w:kern w:val="0"/>
                <w:sz w:val="20"/>
                <w:szCs w:val="20"/>
              </w:rPr>
              <w:t>（4）由本企业直接或间接控制的外国企业的财务会计资料。</w:t>
            </w:r>
            <w:r>
              <w:rPr>
                <w:rFonts w:hint="eastAsia" w:ascii="宋体" w:hAnsi="宋体" w:cs="宋体"/>
                <w:kern w:val="0"/>
                <w:sz w:val="20"/>
                <w:szCs w:val="20"/>
              </w:rPr>
              <w:br w:type="textWrapping"/>
            </w:r>
            <w:r>
              <w:rPr>
                <w:rFonts w:hint="eastAsia" w:ascii="宋体" w:hAnsi="宋体" w:cs="宋体"/>
                <w:kern w:val="0"/>
                <w:sz w:val="20"/>
                <w:szCs w:val="20"/>
              </w:rPr>
              <w:t>6、采用简易办法计算抵免限额的还需提供：</w:t>
            </w:r>
            <w:r>
              <w:rPr>
                <w:rFonts w:hint="eastAsia" w:ascii="宋体" w:hAnsi="宋体" w:cs="宋体"/>
                <w:kern w:val="0"/>
                <w:sz w:val="20"/>
                <w:szCs w:val="20"/>
              </w:rPr>
              <w:br w:type="textWrapping"/>
            </w:r>
            <w:r>
              <w:rPr>
                <w:rFonts w:hint="eastAsia" w:ascii="宋体" w:hAnsi="宋体" w:cs="宋体"/>
                <w:kern w:val="0"/>
                <w:sz w:val="20"/>
                <w:szCs w:val="20"/>
              </w:rPr>
              <w:t>（1）取得境外分支机构的营业利润所得需提供企业申请及有关情况说明；来源国（地区）政府机关核发的具有纳税性质的凭证和证明复印件；</w:t>
            </w:r>
            <w:r>
              <w:rPr>
                <w:rFonts w:hint="eastAsia" w:ascii="宋体" w:hAnsi="宋体" w:cs="宋体"/>
                <w:kern w:val="0"/>
                <w:sz w:val="20"/>
                <w:szCs w:val="20"/>
              </w:rPr>
              <w:br w:type="textWrapping"/>
            </w:r>
            <w:r>
              <w:rPr>
                <w:rFonts w:hint="eastAsia" w:ascii="宋体" w:hAnsi="宋体" w:cs="宋体"/>
                <w:kern w:val="0"/>
                <w:sz w:val="20"/>
                <w:szCs w:val="20"/>
              </w:rPr>
              <w:t>（2）取得符合境外税额间接抵免条件的股息所得需提供企业申请及有关情况说明；符合企业所得税法第二十四条条件的有关股权证明的文件或凭证复印件。</w:t>
            </w:r>
            <w:r>
              <w:rPr>
                <w:rFonts w:hint="eastAsia" w:ascii="宋体" w:hAnsi="宋体" w:cs="宋体"/>
                <w:kern w:val="0"/>
                <w:sz w:val="20"/>
                <w:szCs w:val="20"/>
              </w:rPr>
              <w:br w:type="textWrapping"/>
            </w:r>
            <w:r>
              <w:rPr>
                <w:rFonts w:hint="eastAsia" w:ascii="宋体" w:hAnsi="宋体" w:cs="宋体"/>
                <w:kern w:val="0"/>
                <w:sz w:val="20"/>
                <w:szCs w:val="20"/>
              </w:rPr>
              <w:t>7、主管税务机关要求提供的其它资料。</w:t>
            </w:r>
            <w:r>
              <w:rPr>
                <w:rFonts w:hint="eastAsia" w:ascii="宋体" w:hAnsi="宋体" w:cs="宋体"/>
                <w:kern w:val="0"/>
                <w:sz w:val="20"/>
                <w:szCs w:val="20"/>
              </w:rPr>
              <w:br w:type="textWrapping"/>
            </w:r>
            <w:r>
              <w:rPr>
                <w:rFonts w:hint="eastAsia" w:ascii="宋体" w:hAnsi="宋体" w:cs="宋体"/>
                <w:kern w:val="0"/>
                <w:sz w:val="20"/>
                <w:szCs w:val="20"/>
              </w:rPr>
              <w:t>说明：以上提交资料使用非中文的，企业应同时提交中文译本复印件；上述资料已向税务机关提供的，可不再提供；上述资料若有变更的，须重新提供；复印件须注明与原件一致，译本须注明与原本无异义，并加盖企业公章。</w:t>
            </w:r>
          </w:p>
        </w:tc>
        <w:tc>
          <w:tcPr>
            <w:tcW w:w="184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国家税务总局公告2010年第1号</w:t>
            </w:r>
          </w:p>
        </w:tc>
      </w:tr>
      <w:tr>
        <w:tblPrEx>
          <w:tblCellMar>
            <w:top w:w="0" w:type="dxa"/>
            <w:left w:w="108" w:type="dxa"/>
            <w:bottom w:w="0" w:type="dxa"/>
            <w:right w:w="108" w:type="dxa"/>
          </w:tblCellMar>
        </w:tblPrEx>
        <w:trPr>
          <w:trHeight w:val="1701"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20"/>
                <w:szCs w:val="20"/>
              </w:rPr>
            </w:pPr>
            <w:r>
              <w:rPr>
                <w:rFonts w:hint="eastAsia" w:ascii="宋体" w:hAnsi="宋体" w:cs="宋体"/>
                <w:kern w:val="0"/>
                <w:sz w:val="20"/>
                <w:szCs w:val="20"/>
              </w:rPr>
              <w:t>13、</w:t>
            </w:r>
          </w:p>
        </w:tc>
        <w:tc>
          <w:tcPr>
            <w:tcW w:w="1590"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r>
              <w:rPr>
                <w:rFonts w:hint="eastAsia" w:ascii="宋体" w:hAnsi="宋体" w:cs="宋体"/>
                <w:kern w:val="0"/>
                <w:sz w:val="20"/>
                <w:szCs w:val="20"/>
              </w:rPr>
              <w:t>股权激励与技术入股</w:t>
            </w:r>
          </w:p>
        </w:tc>
        <w:tc>
          <w:tcPr>
            <w:tcW w:w="573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1、《其他项目报送资料受理表》(一般事项) 2份；</w:t>
            </w:r>
          </w:p>
          <w:p>
            <w:pPr>
              <w:widowControl/>
              <w:jc w:val="left"/>
              <w:rPr>
                <w:rFonts w:ascii="宋体" w:hAnsi="宋体" w:cs="宋体"/>
                <w:kern w:val="0"/>
                <w:sz w:val="20"/>
                <w:szCs w:val="20"/>
              </w:rPr>
            </w:pPr>
            <w:r>
              <w:rPr>
                <w:rFonts w:hint="eastAsia" w:ascii="宋体" w:hAnsi="宋体" w:cs="宋体"/>
                <w:kern w:val="0"/>
                <w:sz w:val="20"/>
                <w:szCs w:val="20"/>
              </w:rPr>
              <w:t>2、《技术成果投资入股企业所得税递延纳税备案表》；</w:t>
            </w:r>
          </w:p>
          <w:p>
            <w:pPr>
              <w:jc w:val="left"/>
              <w:rPr>
                <w:rFonts w:ascii="宋体" w:hAnsi="宋体" w:cs="宋体"/>
                <w:kern w:val="0"/>
                <w:sz w:val="20"/>
                <w:szCs w:val="20"/>
              </w:rPr>
            </w:pPr>
            <w:r>
              <w:rPr>
                <w:rFonts w:hint="eastAsia" w:ascii="宋体" w:hAnsi="宋体" w:cs="宋体"/>
                <w:kern w:val="0"/>
                <w:sz w:val="20"/>
                <w:szCs w:val="20"/>
              </w:rPr>
              <w:t xml:space="preserve">3、技术成果相关证书或证明材料、技术成果投资入股协议、技术成果评估报告等资料。 </w:t>
            </w:r>
          </w:p>
        </w:tc>
        <w:tc>
          <w:tcPr>
            <w:tcW w:w="1841"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kern w:val="0"/>
                <w:sz w:val="20"/>
                <w:szCs w:val="20"/>
              </w:rPr>
            </w:pPr>
            <w:r>
              <w:rPr>
                <w:rFonts w:hint="eastAsia" w:ascii="宋体" w:hAnsi="宋体" w:cs="宋体"/>
                <w:kern w:val="0"/>
                <w:sz w:val="20"/>
                <w:szCs w:val="20"/>
              </w:rPr>
              <w:t>国家税务总局公告2016年第62号</w:t>
            </w:r>
          </w:p>
        </w:tc>
      </w:tr>
    </w:tbl>
    <w:p/>
    <w:p/>
    <w:p/>
    <w:p/>
    <w:p>
      <w:pPr>
        <w:spacing w:line="360" w:lineRule="auto"/>
        <w:jc w:val="center"/>
        <w:rPr>
          <w:rFonts w:ascii="仿宋_GB2312" w:hAnsi="仿宋_GB2312" w:eastAsia="仿宋_GB2312" w:cs="宋体"/>
          <w:sz w:val="32"/>
          <w:szCs w:val="32"/>
        </w:rPr>
      </w:pPr>
      <w:r>
        <w:rPr>
          <w:rFonts w:hint="eastAsia" w:ascii="宋体" w:hAnsi="宋体"/>
          <w:b/>
          <w:sz w:val="32"/>
          <w:szCs w:val="32"/>
        </w:rPr>
        <w:t>中华人民共和国企业政策性搬迁清算损益表</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政策性搬迁期间：      年  月  日至      年  月  日</w:t>
      </w:r>
    </w:p>
    <w:p>
      <w:pPr>
        <w:spacing w:line="360" w:lineRule="auto"/>
        <w:rPr>
          <w:rFonts w:ascii="宋体" w:hAnsi="宋体"/>
          <w:sz w:val="24"/>
        </w:rPr>
      </w:pPr>
      <w:r>
        <w:rPr>
          <w:rFonts w:hint="eastAsia" w:ascii="宋体" w:hAnsi="宋体"/>
          <w:sz w:val="24"/>
        </w:rPr>
        <w:t>纳税人名称：</w:t>
      </w:r>
    </w:p>
    <w:p>
      <w:pPr>
        <w:spacing w:line="360" w:lineRule="auto"/>
        <w:rPr>
          <w:rFonts w:ascii="宋体" w:hAnsi="宋体"/>
          <w:sz w:val="24"/>
        </w:rPr>
      </w:pPr>
      <w:r>
        <w:rPr>
          <w:rFonts w:hint="eastAsia" w:ascii="宋体" w:hAnsi="宋体"/>
          <w:sz w:val="24"/>
        </w:rPr>
        <w:t xml:space="preserve">纳税人识别号：□□□□□□□□□□□□□□□  金额单位：  元（列至角分）  </w:t>
      </w:r>
    </w:p>
    <w:p>
      <w:pPr>
        <w:spacing w:line="360" w:lineRule="auto"/>
        <w:rPr>
          <w:rFonts w:ascii="宋体" w:hAnsi="宋体"/>
          <w:sz w:val="24"/>
        </w:rPr>
      </w:pPr>
      <w:r>
        <w:rPr>
          <w:rFonts w:hint="eastAsia" w:ascii="宋体" w:hAnsi="宋体"/>
          <w:sz w:val="24"/>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2"/>
        <w:gridCol w:w="791"/>
        <w:gridCol w:w="1072"/>
        <w:gridCol w:w="3732"/>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82" w:type="dxa"/>
            <w:shd w:val="clear" w:color="auto" w:fill="auto"/>
            <w:vAlign w:val="center"/>
          </w:tcPr>
          <w:p>
            <w:pPr>
              <w:jc w:val="center"/>
              <w:rPr>
                <w:rFonts w:ascii="宋体" w:hAnsi="宋体"/>
                <w:b/>
                <w:sz w:val="24"/>
              </w:rPr>
            </w:pPr>
            <w:r>
              <w:rPr>
                <w:rFonts w:hint="eastAsia" w:ascii="宋体" w:hAnsi="宋体"/>
                <w:b/>
                <w:sz w:val="24"/>
              </w:rPr>
              <w:t>类别</w:t>
            </w:r>
          </w:p>
        </w:tc>
        <w:tc>
          <w:tcPr>
            <w:tcW w:w="791" w:type="dxa"/>
            <w:shd w:val="clear" w:color="auto" w:fill="auto"/>
            <w:vAlign w:val="center"/>
          </w:tcPr>
          <w:p>
            <w:pPr>
              <w:jc w:val="center"/>
              <w:rPr>
                <w:rFonts w:ascii="宋体" w:hAnsi="宋体"/>
                <w:b/>
                <w:sz w:val="24"/>
              </w:rPr>
            </w:pPr>
            <w:r>
              <w:rPr>
                <w:rFonts w:hint="eastAsia" w:ascii="宋体" w:hAnsi="宋体"/>
                <w:b/>
                <w:sz w:val="24"/>
              </w:rPr>
              <w:t>行次</w:t>
            </w:r>
          </w:p>
        </w:tc>
        <w:tc>
          <w:tcPr>
            <w:tcW w:w="4804" w:type="dxa"/>
            <w:gridSpan w:val="2"/>
            <w:shd w:val="clear" w:color="auto" w:fill="auto"/>
            <w:vAlign w:val="center"/>
          </w:tcPr>
          <w:p>
            <w:pPr>
              <w:jc w:val="center"/>
              <w:rPr>
                <w:rFonts w:ascii="宋体" w:hAnsi="宋体"/>
                <w:b/>
                <w:sz w:val="24"/>
              </w:rPr>
            </w:pPr>
            <w:r>
              <w:rPr>
                <w:rFonts w:hint="eastAsia" w:ascii="宋体" w:hAnsi="宋体"/>
                <w:b/>
                <w:sz w:val="24"/>
              </w:rPr>
              <w:t>项目</w:t>
            </w:r>
          </w:p>
        </w:tc>
        <w:tc>
          <w:tcPr>
            <w:tcW w:w="1645" w:type="dxa"/>
            <w:shd w:val="clear" w:color="auto" w:fill="auto"/>
            <w:vAlign w:val="center"/>
          </w:tcPr>
          <w:p>
            <w:pPr>
              <w:jc w:val="center"/>
              <w:rPr>
                <w:rFonts w:ascii="宋体" w:hAnsi="宋体"/>
                <w:b/>
                <w:sz w:val="24"/>
              </w:rPr>
            </w:pPr>
            <w:r>
              <w:rPr>
                <w:rFonts w:hint="eastAsia" w:ascii="宋体" w:hAnsi="宋体"/>
                <w:b/>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restart"/>
            <w:shd w:val="clear" w:color="auto" w:fill="auto"/>
            <w:vAlign w:val="center"/>
          </w:tcPr>
          <w:p>
            <w:pPr>
              <w:jc w:val="center"/>
              <w:rPr>
                <w:rFonts w:ascii="宋体" w:hAnsi="宋体"/>
                <w:sz w:val="24"/>
              </w:rPr>
            </w:pPr>
            <w:r>
              <w:rPr>
                <w:rFonts w:hint="eastAsia" w:ascii="宋体" w:hAnsi="宋体"/>
                <w:sz w:val="24"/>
              </w:rPr>
              <w:t>搬迁收入</w:t>
            </w:r>
          </w:p>
        </w:tc>
        <w:tc>
          <w:tcPr>
            <w:tcW w:w="791" w:type="dxa"/>
            <w:shd w:val="clear" w:color="auto" w:fill="auto"/>
          </w:tcPr>
          <w:p>
            <w:pPr>
              <w:jc w:val="center"/>
              <w:rPr>
                <w:rFonts w:ascii="宋体" w:hAnsi="宋体"/>
                <w:sz w:val="24"/>
              </w:rPr>
            </w:pPr>
            <w:r>
              <w:rPr>
                <w:rFonts w:hint="eastAsia" w:ascii="宋体" w:hAnsi="宋体"/>
                <w:sz w:val="24"/>
              </w:rPr>
              <w:t>1</w:t>
            </w:r>
          </w:p>
        </w:tc>
        <w:tc>
          <w:tcPr>
            <w:tcW w:w="4804" w:type="dxa"/>
            <w:gridSpan w:val="2"/>
            <w:shd w:val="clear" w:color="auto" w:fill="auto"/>
          </w:tcPr>
          <w:p>
            <w:pPr>
              <w:rPr>
                <w:rFonts w:ascii="宋体" w:hAnsi="宋体"/>
                <w:sz w:val="24"/>
              </w:rPr>
            </w:pPr>
            <w:r>
              <w:rPr>
                <w:rFonts w:hint="eastAsia" w:ascii="宋体" w:hAnsi="宋体" w:cs="宋体"/>
                <w:sz w:val="24"/>
                <w:szCs w:val="24"/>
              </w:rPr>
              <w:t>对被征用资产价值的补偿</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2</w:t>
            </w:r>
          </w:p>
        </w:tc>
        <w:tc>
          <w:tcPr>
            <w:tcW w:w="4804" w:type="dxa"/>
            <w:gridSpan w:val="2"/>
            <w:shd w:val="clear" w:color="auto" w:fill="auto"/>
          </w:tcPr>
          <w:p>
            <w:pPr>
              <w:rPr>
                <w:rFonts w:ascii="宋体" w:hAnsi="宋体"/>
                <w:sz w:val="24"/>
              </w:rPr>
            </w:pPr>
            <w:r>
              <w:rPr>
                <w:rFonts w:hint="eastAsia" w:ascii="宋体" w:hAnsi="宋体" w:cs="宋体"/>
                <w:sz w:val="24"/>
                <w:szCs w:val="24"/>
              </w:rPr>
              <w:t>因搬迁、安置而给予的补偿</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3</w:t>
            </w:r>
          </w:p>
        </w:tc>
        <w:tc>
          <w:tcPr>
            <w:tcW w:w="4804" w:type="dxa"/>
            <w:gridSpan w:val="2"/>
            <w:shd w:val="clear" w:color="auto" w:fill="auto"/>
          </w:tcPr>
          <w:p>
            <w:pPr>
              <w:rPr>
                <w:rFonts w:ascii="宋体" w:hAnsi="宋体"/>
                <w:sz w:val="24"/>
              </w:rPr>
            </w:pPr>
            <w:r>
              <w:rPr>
                <w:rFonts w:hint="eastAsia" w:ascii="宋体" w:hAnsi="宋体" w:cs="宋体"/>
                <w:sz w:val="24"/>
                <w:szCs w:val="24"/>
              </w:rPr>
              <w:t>对停产停业形成的损失而给予的补偿</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4</w:t>
            </w:r>
          </w:p>
        </w:tc>
        <w:tc>
          <w:tcPr>
            <w:tcW w:w="4804" w:type="dxa"/>
            <w:gridSpan w:val="2"/>
            <w:shd w:val="clear" w:color="auto" w:fill="auto"/>
          </w:tcPr>
          <w:p>
            <w:pPr>
              <w:rPr>
                <w:rFonts w:ascii="宋体" w:hAnsi="宋体"/>
                <w:sz w:val="24"/>
              </w:rPr>
            </w:pPr>
            <w:r>
              <w:rPr>
                <w:rFonts w:hint="eastAsia" w:ascii="宋体" w:hAnsi="宋体" w:cs="宋体"/>
                <w:sz w:val="24"/>
                <w:szCs w:val="24"/>
              </w:rPr>
              <w:t>资产搬迁过程中遭到毁损而取得的保险赔款</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5</w:t>
            </w:r>
          </w:p>
        </w:tc>
        <w:tc>
          <w:tcPr>
            <w:tcW w:w="4804" w:type="dxa"/>
            <w:gridSpan w:val="2"/>
            <w:shd w:val="clear" w:color="auto" w:fill="auto"/>
          </w:tcPr>
          <w:p>
            <w:pPr>
              <w:rPr>
                <w:rFonts w:ascii="宋体" w:hAnsi="宋体"/>
                <w:sz w:val="24"/>
              </w:rPr>
            </w:pPr>
            <w:r>
              <w:rPr>
                <w:rFonts w:hint="eastAsia" w:ascii="宋体" w:hAnsi="宋体" w:cs="宋体"/>
                <w:sz w:val="24"/>
                <w:szCs w:val="24"/>
              </w:rPr>
              <w:t>搬迁资产处置收入</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6</w:t>
            </w:r>
          </w:p>
        </w:tc>
        <w:tc>
          <w:tcPr>
            <w:tcW w:w="4804" w:type="dxa"/>
            <w:gridSpan w:val="2"/>
            <w:shd w:val="clear" w:color="auto" w:fill="auto"/>
          </w:tcPr>
          <w:p>
            <w:pPr>
              <w:rPr>
                <w:rFonts w:ascii="宋体" w:hAnsi="宋体"/>
                <w:sz w:val="24"/>
              </w:rPr>
            </w:pPr>
            <w:r>
              <w:rPr>
                <w:rFonts w:hint="eastAsia" w:ascii="宋体" w:hAnsi="宋体" w:cs="宋体"/>
                <w:sz w:val="24"/>
                <w:szCs w:val="24"/>
              </w:rPr>
              <w:t>其他搬迁收入</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tcPr>
          <w:p>
            <w:pP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7</w:t>
            </w:r>
          </w:p>
        </w:tc>
        <w:tc>
          <w:tcPr>
            <w:tcW w:w="4804" w:type="dxa"/>
            <w:gridSpan w:val="2"/>
            <w:shd w:val="clear" w:color="auto" w:fill="auto"/>
          </w:tcPr>
          <w:p>
            <w:pPr>
              <w:rPr>
                <w:rFonts w:ascii="宋体" w:hAnsi="宋体" w:cs="宋体"/>
                <w:sz w:val="24"/>
                <w:szCs w:val="24"/>
              </w:rPr>
            </w:pPr>
            <w:r>
              <w:rPr>
                <w:rFonts w:hint="eastAsia" w:ascii="宋体" w:hAnsi="宋体" w:cs="宋体"/>
                <w:sz w:val="24"/>
                <w:szCs w:val="24"/>
              </w:rPr>
              <w:t>搬迁收入合计（1+2+3+4+5+6）</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restart"/>
            <w:shd w:val="clear" w:color="auto" w:fill="auto"/>
            <w:vAlign w:val="center"/>
          </w:tcPr>
          <w:p>
            <w:pPr>
              <w:jc w:val="center"/>
              <w:rPr>
                <w:rFonts w:ascii="宋体" w:hAnsi="宋体"/>
                <w:sz w:val="24"/>
              </w:rPr>
            </w:pPr>
            <w:r>
              <w:rPr>
                <w:rFonts w:hint="eastAsia" w:ascii="宋体" w:hAnsi="宋体"/>
                <w:sz w:val="24"/>
              </w:rPr>
              <w:t>搬迁支出</w:t>
            </w:r>
          </w:p>
        </w:tc>
        <w:tc>
          <w:tcPr>
            <w:tcW w:w="791" w:type="dxa"/>
            <w:shd w:val="clear" w:color="auto" w:fill="auto"/>
          </w:tcPr>
          <w:p>
            <w:pPr>
              <w:jc w:val="center"/>
              <w:rPr>
                <w:rFonts w:ascii="宋体" w:hAnsi="宋体"/>
                <w:sz w:val="24"/>
              </w:rPr>
            </w:pPr>
            <w:r>
              <w:rPr>
                <w:rFonts w:hint="eastAsia" w:ascii="宋体" w:hAnsi="宋体"/>
                <w:sz w:val="24"/>
              </w:rPr>
              <w:t>8</w:t>
            </w:r>
          </w:p>
        </w:tc>
        <w:tc>
          <w:tcPr>
            <w:tcW w:w="4804" w:type="dxa"/>
            <w:gridSpan w:val="2"/>
            <w:shd w:val="clear" w:color="auto" w:fill="auto"/>
          </w:tcPr>
          <w:p>
            <w:pPr>
              <w:rPr>
                <w:rFonts w:ascii="宋体" w:hAnsi="宋体"/>
                <w:sz w:val="24"/>
              </w:rPr>
            </w:pPr>
            <w:r>
              <w:rPr>
                <w:rFonts w:hint="eastAsia" w:ascii="宋体" w:hAnsi="宋体" w:cs="宋体"/>
                <w:sz w:val="24"/>
                <w:szCs w:val="24"/>
              </w:rPr>
              <w:t>安置职工实际发生的费用</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9</w:t>
            </w:r>
          </w:p>
        </w:tc>
        <w:tc>
          <w:tcPr>
            <w:tcW w:w="4804" w:type="dxa"/>
            <w:gridSpan w:val="2"/>
            <w:shd w:val="clear" w:color="auto" w:fill="auto"/>
          </w:tcPr>
          <w:p>
            <w:pPr>
              <w:rPr>
                <w:rFonts w:ascii="宋体" w:hAnsi="宋体"/>
                <w:sz w:val="24"/>
              </w:rPr>
            </w:pPr>
            <w:r>
              <w:rPr>
                <w:rFonts w:hint="eastAsia" w:ascii="宋体" w:hAnsi="宋体" w:cs="宋体"/>
                <w:sz w:val="24"/>
                <w:szCs w:val="24"/>
              </w:rPr>
              <w:t>停工期间支付给职工的工资及福利费</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10</w:t>
            </w:r>
          </w:p>
        </w:tc>
        <w:tc>
          <w:tcPr>
            <w:tcW w:w="4804" w:type="dxa"/>
            <w:gridSpan w:val="2"/>
            <w:shd w:val="clear" w:color="auto" w:fill="auto"/>
          </w:tcPr>
          <w:p>
            <w:pPr>
              <w:rPr>
                <w:rFonts w:ascii="宋体" w:hAnsi="宋体"/>
                <w:sz w:val="24"/>
              </w:rPr>
            </w:pPr>
            <w:r>
              <w:rPr>
                <w:rFonts w:hint="eastAsia" w:ascii="宋体" w:hAnsi="宋体" w:cs="宋体"/>
                <w:sz w:val="24"/>
                <w:szCs w:val="24"/>
              </w:rPr>
              <w:t>临时存放搬迁资产而发生的费用</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11</w:t>
            </w:r>
          </w:p>
        </w:tc>
        <w:tc>
          <w:tcPr>
            <w:tcW w:w="4804" w:type="dxa"/>
            <w:gridSpan w:val="2"/>
            <w:shd w:val="clear" w:color="auto" w:fill="auto"/>
          </w:tcPr>
          <w:p>
            <w:pPr>
              <w:rPr>
                <w:rFonts w:ascii="宋体" w:hAnsi="宋体"/>
                <w:sz w:val="24"/>
              </w:rPr>
            </w:pPr>
            <w:r>
              <w:rPr>
                <w:rFonts w:hint="eastAsia" w:ascii="宋体" w:hAnsi="宋体" w:cs="宋体"/>
                <w:sz w:val="24"/>
                <w:szCs w:val="24"/>
              </w:rPr>
              <w:t>各类资产搬迁安装费用</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12</w:t>
            </w:r>
          </w:p>
        </w:tc>
        <w:tc>
          <w:tcPr>
            <w:tcW w:w="4804" w:type="dxa"/>
            <w:gridSpan w:val="2"/>
            <w:shd w:val="clear" w:color="auto" w:fill="auto"/>
          </w:tcPr>
          <w:p>
            <w:pPr>
              <w:rPr>
                <w:rFonts w:ascii="宋体" w:hAnsi="宋体" w:cs="宋体"/>
                <w:sz w:val="24"/>
                <w:szCs w:val="24"/>
              </w:rPr>
            </w:pPr>
            <w:r>
              <w:rPr>
                <w:rFonts w:hint="eastAsia" w:ascii="宋体" w:hAnsi="宋体" w:cs="宋体"/>
                <w:sz w:val="24"/>
                <w:szCs w:val="24"/>
              </w:rPr>
              <w:t>资产处置支出</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13</w:t>
            </w:r>
          </w:p>
        </w:tc>
        <w:tc>
          <w:tcPr>
            <w:tcW w:w="4804" w:type="dxa"/>
            <w:gridSpan w:val="2"/>
            <w:shd w:val="clear" w:color="auto" w:fill="auto"/>
          </w:tcPr>
          <w:p>
            <w:pPr>
              <w:rPr>
                <w:rFonts w:ascii="宋体" w:hAnsi="宋体" w:cs="宋体"/>
                <w:sz w:val="24"/>
                <w:szCs w:val="24"/>
              </w:rPr>
            </w:pPr>
            <w:r>
              <w:rPr>
                <w:rFonts w:hint="eastAsia" w:ascii="宋体" w:hAnsi="宋体" w:cs="宋体"/>
                <w:sz w:val="24"/>
                <w:szCs w:val="24"/>
              </w:rPr>
              <w:t>其他搬迁支出</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Merge w:val="continue"/>
            <w:shd w:val="clear" w:color="auto" w:fill="auto"/>
            <w:vAlign w:val="center"/>
          </w:tcPr>
          <w:p>
            <w:pPr>
              <w:jc w:val="center"/>
              <w:rPr>
                <w:rFonts w:ascii="宋体" w:hAnsi="宋体"/>
                <w:sz w:val="24"/>
              </w:rPr>
            </w:pPr>
          </w:p>
        </w:tc>
        <w:tc>
          <w:tcPr>
            <w:tcW w:w="791" w:type="dxa"/>
            <w:shd w:val="clear" w:color="auto" w:fill="auto"/>
          </w:tcPr>
          <w:p>
            <w:pPr>
              <w:jc w:val="center"/>
              <w:rPr>
                <w:rFonts w:ascii="宋体" w:hAnsi="宋体"/>
                <w:sz w:val="24"/>
              </w:rPr>
            </w:pPr>
            <w:r>
              <w:rPr>
                <w:rFonts w:hint="eastAsia" w:ascii="宋体" w:hAnsi="宋体"/>
                <w:sz w:val="24"/>
              </w:rPr>
              <w:t>14</w:t>
            </w:r>
          </w:p>
        </w:tc>
        <w:tc>
          <w:tcPr>
            <w:tcW w:w="4804" w:type="dxa"/>
            <w:gridSpan w:val="2"/>
            <w:shd w:val="clear" w:color="auto" w:fill="auto"/>
          </w:tcPr>
          <w:p>
            <w:pPr>
              <w:rPr>
                <w:rFonts w:ascii="宋体" w:hAnsi="宋体" w:cs="宋体"/>
                <w:sz w:val="24"/>
                <w:szCs w:val="24"/>
              </w:rPr>
            </w:pPr>
            <w:r>
              <w:rPr>
                <w:rFonts w:hint="eastAsia" w:ascii="宋体" w:hAnsi="宋体" w:cs="宋体"/>
                <w:sz w:val="24"/>
                <w:szCs w:val="24"/>
              </w:rPr>
              <w:t>搬迁支出合计（8+9+10+11+12+13）</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shd w:val="clear" w:color="auto" w:fill="auto"/>
            <w:vAlign w:val="center"/>
          </w:tcPr>
          <w:p>
            <w:pPr>
              <w:jc w:val="center"/>
              <w:rPr>
                <w:rFonts w:ascii="宋体" w:hAnsi="宋体"/>
                <w:sz w:val="24"/>
              </w:rPr>
            </w:pPr>
            <w:r>
              <w:rPr>
                <w:rFonts w:hint="eastAsia" w:ascii="宋体" w:hAnsi="宋体"/>
                <w:sz w:val="24"/>
              </w:rPr>
              <w:t>搬迁所得</w:t>
            </w:r>
          </w:p>
          <w:p>
            <w:pPr>
              <w:jc w:val="center"/>
              <w:rPr>
                <w:rFonts w:ascii="宋体" w:hAnsi="宋体"/>
                <w:sz w:val="24"/>
              </w:rPr>
            </w:pPr>
            <w:r>
              <w:rPr>
                <w:rFonts w:hint="eastAsia" w:ascii="宋体" w:hAnsi="宋体"/>
                <w:sz w:val="24"/>
              </w:rPr>
              <w:t>（或损失）</w:t>
            </w:r>
          </w:p>
        </w:tc>
        <w:tc>
          <w:tcPr>
            <w:tcW w:w="791" w:type="dxa"/>
            <w:shd w:val="clear" w:color="auto" w:fill="auto"/>
            <w:vAlign w:val="center"/>
          </w:tcPr>
          <w:p>
            <w:pPr>
              <w:jc w:val="center"/>
              <w:rPr>
                <w:rFonts w:ascii="宋体" w:hAnsi="宋体"/>
                <w:sz w:val="24"/>
              </w:rPr>
            </w:pPr>
            <w:r>
              <w:rPr>
                <w:rFonts w:hint="eastAsia" w:ascii="宋体" w:hAnsi="宋体"/>
                <w:sz w:val="24"/>
              </w:rPr>
              <w:t>15</w:t>
            </w:r>
          </w:p>
        </w:tc>
        <w:tc>
          <w:tcPr>
            <w:tcW w:w="4804" w:type="dxa"/>
            <w:gridSpan w:val="2"/>
            <w:shd w:val="clear" w:color="auto" w:fill="auto"/>
            <w:vAlign w:val="center"/>
          </w:tcPr>
          <w:p>
            <w:pPr>
              <w:rPr>
                <w:rFonts w:ascii="宋体" w:hAnsi="宋体"/>
                <w:sz w:val="24"/>
              </w:rPr>
            </w:pPr>
            <w:r>
              <w:rPr>
                <w:rFonts w:hint="eastAsia" w:ascii="宋体" w:hAnsi="宋体"/>
                <w:sz w:val="24"/>
              </w:rPr>
              <w:t>搬迁所得（或损失）（7-14）</w:t>
            </w:r>
          </w:p>
        </w:tc>
        <w:tc>
          <w:tcPr>
            <w:tcW w:w="1645" w:type="dxa"/>
            <w:shd w:val="clear" w:color="auto" w:fill="auto"/>
            <w:vAlign w:val="center"/>
          </w:tcPr>
          <w:p>
            <w:pPr>
              <w:jc w:val="righ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5" w:hRule="atLeast"/>
        </w:trPr>
        <w:tc>
          <w:tcPr>
            <w:tcW w:w="3145" w:type="dxa"/>
            <w:gridSpan w:val="3"/>
            <w:shd w:val="clear" w:color="auto" w:fill="auto"/>
          </w:tcPr>
          <w:p>
            <w:pPr>
              <w:rPr>
                <w:rFonts w:ascii="宋体" w:hAnsi="宋体"/>
                <w:sz w:val="24"/>
              </w:rPr>
            </w:pPr>
          </w:p>
          <w:p>
            <w:pPr>
              <w:rPr>
                <w:rFonts w:ascii="宋体" w:hAnsi="宋体"/>
                <w:sz w:val="24"/>
              </w:rPr>
            </w:pPr>
            <w:r>
              <w:rPr>
                <w:rFonts w:hint="eastAsia" w:ascii="宋体" w:hAnsi="宋体"/>
                <w:sz w:val="24"/>
              </w:rPr>
              <w:t>纳税人盖章：</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经办人签字：</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申报日期： </w:t>
            </w:r>
          </w:p>
          <w:p>
            <w:pPr>
              <w:jc w:val="center"/>
              <w:rPr>
                <w:rFonts w:ascii="宋体" w:hAnsi="宋体"/>
                <w:sz w:val="24"/>
              </w:rPr>
            </w:pPr>
          </w:p>
          <w:p>
            <w:pPr>
              <w:jc w:val="center"/>
              <w:rPr>
                <w:rFonts w:ascii="宋体" w:hAnsi="宋体"/>
                <w:sz w:val="24"/>
              </w:rPr>
            </w:pPr>
            <w:r>
              <w:rPr>
                <w:rFonts w:hint="eastAsia" w:ascii="宋体" w:hAnsi="宋体"/>
                <w:sz w:val="24"/>
              </w:rPr>
              <w:t xml:space="preserve">        年  月  日</w:t>
            </w:r>
          </w:p>
        </w:tc>
        <w:tc>
          <w:tcPr>
            <w:tcW w:w="3732" w:type="dxa"/>
            <w:shd w:val="clear" w:color="auto" w:fill="auto"/>
          </w:tcPr>
          <w:p>
            <w:pPr>
              <w:rPr>
                <w:rFonts w:ascii="宋体" w:hAnsi="宋体"/>
                <w:sz w:val="24"/>
              </w:rPr>
            </w:pPr>
          </w:p>
          <w:p>
            <w:pPr>
              <w:rPr>
                <w:rFonts w:ascii="宋体" w:hAnsi="宋体"/>
                <w:sz w:val="24"/>
              </w:rPr>
            </w:pPr>
            <w:r>
              <w:rPr>
                <w:rFonts w:hint="eastAsia" w:ascii="宋体" w:hAnsi="宋体"/>
                <w:sz w:val="24"/>
              </w:rPr>
              <w:t>代理申报中介机构盖章：</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经办人签字及执业证件号码：</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代理申报日期：  </w:t>
            </w:r>
          </w:p>
          <w:p>
            <w:pPr>
              <w:ind w:firstLine="1320" w:firstLineChars="550"/>
              <w:rPr>
                <w:rFonts w:ascii="宋体" w:hAnsi="宋体"/>
                <w:sz w:val="24"/>
              </w:rPr>
            </w:pPr>
          </w:p>
          <w:p>
            <w:pPr>
              <w:ind w:firstLine="1560" w:firstLineChars="650"/>
              <w:rPr>
                <w:rFonts w:ascii="宋体" w:hAnsi="宋体"/>
                <w:sz w:val="24"/>
              </w:rPr>
            </w:pPr>
            <w:r>
              <w:rPr>
                <w:rFonts w:hint="eastAsia" w:ascii="宋体" w:hAnsi="宋体"/>
                <w:sz w:val="24"/>
              </w:rPr>
              <w:t>年  月  日</w:t>
            </w:r>
          </w:p>
        </w:tc>
        <w:tc>
          <w:tcPr>
            <w:tcW w:w="1645" w:type="dxa"/>
            <w:shd w:val="clear" w:color="auto" w:fill="auto"/>
          </w:tcPr>
          <w:p>
            <w:pPr>
              <w:rPr>
                <w:rFonts w:ascii="宋体" w:hAnsi="宋体"/>
                <w:sz w:val="24"/>
              </w:rPr>
            </w:pPr>
          </w:p>
          <w:p>
            <w:pPr>
              <w:rPr>
                <w:rFonts w:ascii="宋体" w:hAnsi="宋体"/>
                <w:sz w:val="24"/>
              </w:rPr>
            </w:pPr>
            <w:r>
              <w:rPr>
                <w:rFonts w:hint="eastAsia" w:ascii="宋体" w:hAnsi="宋体"/>
                <w:sz w:val="24"/>
              </w:rPr>
              <w:t>主管税务机关</w:t>
            </w:r>
          </w:p>
          <w:p>
            <w:pPr>
              <w:rPr>
                <w:rFonts w:ascii="宋体" w:hAnsi="宋体"/>
                <w:sz w:val="24"/>
              </w:rPr>
            </w:pPr>
            <w:r>
              <w:rPr>
                <w:rFonts w:hint="eastAsia" w:ascii="宋体" w:hAnsi="宋体"/>
                <w:sz w:val="24"/>
              </w:rPr>
              <w:t>受理专用章：</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受理人签字：</w:t>
            </w: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受理日期：</w:t>
            </w:r>
          </w:p>
          <w:p>
            <w:pPr>
              <w:rPr>
                <w:rFonts w:ascii="宋体" w:hAnsi="宋体"/>
                <w:sz w:val="24"/>
              </w:rPr>
            </w:pPr>
            <w:r>
              <w:rPr>
                <w:rFonts w:hint="eastAsia" w:ascii="宋体" w:hAnsi="宋体"/>
                <w:sz w:val="24"/>
              </w:rPr>
              <w:t xml:space="preserve">   </w:t>
            </w:r>
          </w:p>
          <w:p>
            <w:pPr>
              <w:rPr>
                <w:rFonts w:ascii="宋体" w:hAnsi="宋体"/>
                <w:sz w:val="24"/>
              </w:rPr>
            </w:pPr>
            <w:r>
              <w:rPr>
                <w:rFonts w:hint="eastAsia" w:ascii="宋体" w:hAnsi="宋体"/>
                <w:sz w:val="24"/>
              </w:rPr>
              <w:t xml:space="preserve">   年  月  日</w:t>
            </w:r>
          </w:p>
        </w:tc>
      </w:tr>
    </w:tbl>
    <w:p>
      <w:pPr>
        <w:spacing w:line="360" w:lineRule="auto"/>
        <w:ind w:firstLine="1470" w:firstLineChars="700"/>
        <w:rPr>
          <w:rFonts w:cs="Arial"/>
        </w:rPr>
      </w:pPr>
    </w:p>
    <w:p>
      <w:pPr>
        <w:sectPr>
          <w:pgSz w:w="11906" w:h="16838"/>
          <w:pgMar w:top="1440" w:right="1800" w:bottom="1440" w:left="1800" w:header="851" w:footer="992" w:gutter="0"/>
          <w:cols w:space="425" w:num="1"/>
          <w:docGrid w:type="lines" w:linePitch="312" w:charSpace="0"/>
        </w:sectPr>
      </w:pPr>
    </w:p>
    <w:p>
      <w:pPr>
        <w:snapToGrid w:val="0"/>
        <w:spacing w:line="360" w:lineRule="auto"/>
        <w:jc w:val="center"/>
        <w:rPr>
          <w:b/>
        </w:rPr>
      </w:pPr>
      <w:r>
        <w:rPr>
          <w:b/>
        </w:rPr>
        <w:t>技术成果投资入股企业所得税递延纳税备案表</w:t>
      </w:r>
    </w:p>
    <w:p>
      <w:pPr>
        <w:snapToGrid w:val="0"/>
        <w:spacing w:line="360" w:lineRule="auto"/>
        <w:rPr>
          <w:rFonts w:ascii="黑体" w:hAnsi="黑体" w:eastAsia="黑体"/>
          <w:sz w:val="10"/>
          <w:szCs w:val="10"/>
        </w:rPr>
      </w:pPr>
    </w:p>
    <w:tbl>
      <w:tblPr>
        <w:tblStyle w:val="4"/>
        <w:tblW w:w="13830" w:type="dxa"/>
        <w:tblInd w:w="108" w:type="dxa"/>
        <w:tblLayout w:type="fixed"/>
        <w:tblCellMar>
          <w:top w:w="0" w:type="dxa"/>
          <w:left w:w="108" w:type="dxa"/>
          <w:bottom w:w="0" w:type="dxa"/>
          <w:right w:w="108" w:type="dxa"/>
        </w:tblCellMar>
      </w:tblPr>
      <w:tblGrid>
        <w:gridCol w:w="571"/>
        <w:gridCol w:w="1142"/>
        <w:gridCol w:w="1142"/>
        <w:gridCol w:w="1142"/>
        <w:gridCol w:w="1155"/>
        <w:gridCol w:w="1050"/>
        <w:gridCol w:w="1155"/>
        <w:gridCol w:w="315"/>
        <w:gridCol w:w="1217"/>
        <w:gridCol w:w="885"/>
        <w:gridCol w:w="735"/>
        <w:gridCol w:w="304"/>
        <w:gridCol w:w="855"/>
        <w:gridCol w:w="1365"/>
        <w:gridCol w:w="797"/>
      </w:tblGrid>
      <w:tr>
        <w:tblPrEx>
          <w:tblCellMar>
            <w:top w:w="0" w:type="dxa"/>
            <w:left w:w="108" w:type="dxa"/>
            <w:bottom w:w="0" w:type="dxa"/>
            <w:right w:w="108" w:type="dxa"/>
          </w:tblCellMar>
        </w:tblPrEx>
        <w:trPr>
          <w:trHeight w:val="285" w:hRule="atLeast"/>
        </w:trPr>
        <w:tc>
          <w:tcPr>
            <w:tcW w:w="3997" w:type="dxa"/>
            <w:gridSpan w:val="4"/>
            <w:tcBorders>
              <w:top w:val="nil"/>
              <w:left w:val="nil"/>
              <w:bottom w:val="single" w:color="auto" w:sz="4" w:space="0"/>
              <w:right w:val="nil"/>
            </w:tcBorders>
            <w:vAlign w:val="center"/>
          </w:tcPr>
          <w:p>
            <w:pPr>
              <w:widowControl/>
              <w:jc w:val="left"/>
              <w:rPr>
                <w:rFonts w:ascii="宋体" w:hAnsi="宋体" w:cs="宋体"/>
                <w:kern w:val="0"/>
                <w:sz w:val="20"/>
                <w:szCs w:val="20"/>
              </w:rPr>
            </w:pPr>
            <w:r>
              <w:rPr>
                <w:rFonts w:hint="eastAsia" w:ascii="宋体" w:hAnsi="宋体" w:cs="宋体"/>
                <w:kern w:val="0"/>
                <w:sz w:val="20"/>
                <w:szCs w:val="20"/>
              </w:rPr>
              <w:t>纳税人名称（盖章）：</w:t>
            </w:r>
          </w:p>
        </w:tc>
        <w:tc>
          <w:tcPr>
            <w:tcW w:w="3675" w:type="dxa"/>
            <w:gridSpan w:val="4"/>
            <w:tcBorders>
              <w:top w:val="nil"/>
              <w:left w:val="nil"/>
              <w:bottom w:val="single" w:color="auto" w:sz="4" w:space="0"/>
              <w:right w:val="nil"/>
            </w:tcBorders>
            <w:vAlign w:val="center"/>
          </w:tcPr>
          <w:p>
            <w:pPr>
              <w:widowControl/>
              <w:jc w:val="left"/>
              <w:rPr>
                <w:rFonts w:ascii="宋体" w:hAnsi="宋体" w:cs="宋体"/>
                <w:kern w:val="0"/>
                <w:sz w:val="20"/>
                <w:szCs w:val="20"/>
              </w:rPr>
            </w:pPr>
            <w:r>
              <w:rPr>
                <w:rFonts w:hint="eastAsia" w:ascii="宋体" w:hAnsi="宋体" w:cs="宋体"/>
                <w:kern w:val="0"/>
                <w:sz w:val="20"/>
                <w:szCs w:val="20"/>
              </w:rPr>
              <w:t>纳税人识别号：</w:t>
            </w:r>
          </w:p>
        </w:tc>
        <w:tc>
          <w:tcPr>
            <w:tcW w:w="3141" w:type="dxa"/>
            <w:gridSpan w:val="4"/>
            <w:tcBorders>
              <w:top w:val="nil"/>
              <w:left w:val="nil"/>
              <w:bottom w:val="single" w:color="auto" w:sz="4" w:space="0"/>
              <w:right w:val="nil"/>
            </w:tcBorders>
            <w:vAlign w:val="center"/>
          </w:tcPr>
          <w:p>
            <w:pPr>
              <w:widowControl/>
              <w:jc w:val="left"/>
              <w:rPr>
                <w:rFonts w:ascii="宋体" w:hAnsi="宋体" w:cs="宋体"/>
                <w:kern w:val="0"/>
                <w:sz w:val="20"/>
                <w:szCs w:val="20"/>
              </w:rPr>
            </w:pPr>
            <w:r>
              <w:rPr>
                <w:rFonts w:hint="eastAsia" w:ascii="宋体" w:hAnsi="宋体" w:cs="宋体"/>
                <w:kern w:val="0"/>
                <w:sz w:val="20"/>
                <w:szCs w:val="20"/>
              </w:rPr>
              <w:t>申报所属期：____年度</w:t>
            </w:r>
          </w:p>
        </w:tc>
        <w:tc>
          <w:tcPr>
            <w:tcW w:w="3017" w:type="dxa"/>
            <w:gridSpan w:val="3"/>
            <w:tcBorders>
              <w:top w:val="nil"/>
              <w:left w:val="nil"/>
              <w:bottom w:val="single" w:color="auto" w:sz="4" w:space="0"/>
              <w:right w:val="nil"/>
            </w:tcBorders>
            <w:vAlign w:val="center"/>
          </w:tcPr>
          <w:p>
            <w:pPr>
              <w:widowControl/>
              <w:jc w:val="center"/>
              <w:rPr>
                <w:rFonts w:ascii="宋体" w:hAnsi="宋体" w:cs="宋体"/>
                <w:kern w:val="0"/>
                <w:sz w:val="20"/>
                <w:szCs w:val="20"/>
              </w:rPr>
            </w:pPr>
            <w:r>
              <w:rPr>
                <w:rFonts w:hint="eastAsia" w:ascii="宋体" w:hAnsi="宋体" w:cs="宋体"/>
                <w:kern w:val="0"/>
                <w:sz w:val="20"/>
                <w:szCs w:val="20"/>
              </w:rPr>
              <w:t>金额单位：人民币元（列至角分）</w:t>
            </w:r>
          </w:p>
        </w:tc>
      </w:tr>
      <w:tr>
        <w:tblPrEx>
          <w:tblCellMar>
            <w:top w:w="0" w:type="dxa"/>
            <w:left w:w="108" w:type="dxa"/>
            <w:bottom w:w="0" w:type="dxa"/>
            <w:right w:w="108" w:type="dxa"/>
          </w:tblCellMar>
        </w:tblPrEx>
        <w:trPr>
          <w:trHeight w:val="285" w:hRule="atLeast"/>
        </w:trPr>
        <w:tc>
          <w:tcPr>
            <w:tcW w:w="571"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行次</w:t>
            </w:r>
          </w:p>
        </w:tc>
        <w:tc>
          <w:tcPr>
            <w:tcW w:w="8318" w:type="dxa"/>
            <w:gridSpan w:val="8"/>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投资企业信息</w:t>
            </w:r>
          </w:p>
        </w:tc>
        <w:tc>
          <w:tcPr>
            <w:tcW w:w="4144"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被投资企业信息</w:t>
            </w:r>
          </w:p>
        </w:tc>
        <w:tc>
          <w:tcPr>
            <w:tcW w:w="79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备注</w:t>
            </w:r>
          </w:p>
        </w:tc>
      </w:tr>
      <w:tr>
        <w:tblPrEx>
          <w:tblCellMar>
            <w:top w:w="0" w:type="dxa"/>
            <w:left w:w="108" w:type="dxa"/>
            <w:bottom w:w="0" w:type="dxa"/>
            <w:right w:w="108" w:type="dxa"/>
          </w:tblCellMar>
        </w:tblPrEx>
        <w:trPr>
          <w:trHeight w:val="780" w:hRule="atLeast"/>
        </w:trPr>
        <w:tc>
          <w:tcPr>
            <w:tcW w:w="57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技术成果名称</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技术成果类型</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技术成果编号</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公允价值</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计税基础</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取得股权时间</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递延所得</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企业</w:t>
            </w:r>
          </w:p>
          <w:p>
            <w:pPr>
              <w:widowControl/>
              <w:jc w:val="center"/>
              <w:rPr>
                <w:rFonts w:ascii="宋体" w:hAnsi="宋体" w:cs="宋体"/>
                <w:kern w:val="0"/>
                <w:sz w:val="20"/>
                <w:szCs w:val="20"/>
              </w:rPr>
            </w:pPr>
            <w:r>
              <w:rPr>
                <w:rFonts w:hint="eastAsia" w:ascii="宋体" w:hAnsi="宋体" w:cs="宋体"/>
                <w:kern w:val="0"/>
                <w:sz w:val="20"/>
                <w:szCs w:val="20"/>
              </w:rPr>
              <w:t>名称</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纳税人识别号</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主管税务机关</w:t>
            </w:r>
          </w:p>
        </w:tc>
        <w:tc>
          <w:tcPr>
            <w:tcW w:w="1365" w:type="dxa"/>
            <w:tcBorders>
              <w:top w:val="nil"/>
              <w:left w:val="nil"/>
              <w:bottom w:val="single" w:color="auto" w:sz="4" w:space="0"/>
              <w:right w:val="single" w:color="auto" w:sz="4" w:space="0"/>
            </w:tcBorders>
            <w:vAlign w:val="center"/>
          </w:tcPr>
          <w:p>
            <w:pPr>
              <w:widowControl/>
              <w:ind w:left="-107" w:leftChars="-51" w:right="-107" w:rightChars="-51"/>
              <w:jc w:val="center"/>
              <w:rPr>
                <w:rFonts w:ascii="宋体" w:hAnsi="宋体" w:cs="宋体"/>
                <w:kern w:val="0"/>
                <w:sz w:val="20"/>
                <w:szCs w:val="20"/>
              </w:rPr>
            </w:pPr>
            <w:r>
              <w:rPr>
                <w:rFonts w:hint="eastAsia" w:ascii="宋体" w:hAnsi="宋体" w:cs="宋体"/>
                <w:kern w:val="0"/>
                <w:sz w:val="20"/>
                <w:szCs w:val="20"/>
              </w:rPr>
              <w:t>与投资方是否为关联企业</w:t>
            </w:r>
          </w:p>
        </w:tc>
        <w:tc>
          <w:tcPr>
            <w:tcW w:w="7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7=4-5</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9</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10</w:t>
            </w: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11</w:t>
            </w:r>
          </w:p>
        </w:tc>
        <w:tc>
          <w:tcPr>
            <w:tcW w:w="7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6</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7</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28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95" w:hRule="atLeast"/>
        </w:trPr>
        <w:tc>
          <w:tcPr>
            <w:tcW w:w="57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4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05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53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8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159"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36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797"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765" w:hRule="atLeast"/>
        </w:trPr>
        <w:tc>
          <w:tcPr>
            <w:tcW w:w="13830" w:type="dxa"/>
            <w:gridSpan w:val="1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谨声明：本人知悉并保证本表填报内容及所附证明材料真实、完整，并承担因资料虚假而产生的法律和行政责任。   </w:t>
            </w:r>
            <w:r>
              <w:rPr>
                <w:rFonts w:hint="eastAsia" w:ascii="宋体" w:hAnsi="宋体" w:cs="宋体"/>
                <w:kern w:val="0"/>
                <w:sz w:val="20"/>
                <w:szCs w:val="20"/>
              </w:rPr>
              <w:br w:type="textWrapping"/>
            </w:r>
            <w:r>
              <w:rPr>
                <w:rFonts w:hint="eastAsia" w:ascii="宋体" w:hAnsi="宋体" w:cs="宋体"/>
                <w:kern w:val="0"/>
                <w:sz w:val="20"/>
                <w:szCs w:val="20"/>
              </w:rPr>
              <w:t xml:space="preserve">                                                                                           法定代表人签章：</w:t>
            </w:r>
            <w:r>
              <w:rPr>
                <w:rFonts w:hint="eastAsia" w:ascii="宋体" w:hAnsi="宋体" w:cs="宋体"/>
                <w:kern w:val="0"/>
                <w:sz w:val="20"/>
                <w:szCs w:val="20"/>
              </w:rPr>
              <w:br w:type="textWrapping"/>
            </w:r>
            <w:r>
              <w:rPr>
                <w:rFonts w:hint="eastAsia" w:ascii="宋体" w:hAnsi="宋体" w:cs="宋体"/>
                <w:kern w:val="0"/>
                <w:sz w:val="20"/>
                <w:szCs w:val="20"/>
              </w:rPr>
              <w:t xml:space="preserve">                                                                                                                        年  月  日</w:t>
            </w:r>
          </w:p>
        </w:tc>
      </w:tr>
      <w:tr>
        <w:trPr>
          <w:trHeight w:val="270" w:hRule="atLeast"/>
        </w:trPr>
        <w:tc>
          <w:tcPr>
            <w:tcW w:w="8889" w:type="dxa"/>
            <w:gridSpan w:val="9"/>
            <w:vAlign w:val="center"/>
          </w:tcPr>
          <w:p>
            <w:pPr>
              <w:widowControl/>
              <w:jc w:val="left"/>
              <w:rPr>
                <w:rFonts w:ascii="宋体" w:hAnsi="宋体" w:cs="宋体"/>
                <w:kern w:val="0"/>
                <w:sz w:val="20"/>
                <w:szCs w:val="20"/>
              </w:rPr>
            </w:pPr>
            <w:r>
              <w:rPr>
                <w:rFonts w:hint="eastAsia" w:ascii="宋体" w:hAnsi="宋体" w:cs="宋体"/>
                <w:kern w:val="0"/>
                <w:sz w:val="20"/>
                <w:szCs w:val="20"/>
              </w:rPr>
              <w:t>填表人：</w:t>
            </w:r>
          </w:p>
        </w:tc>
        <w:tc>
          <w:tcPr>
            <w:tcW w:w="4941" w:type="dxa"/>
            <w:gridSpan w:val="6"/>
            <w:vAlign w:val="center"/>
          </w:tcPr>
          <w:p>
            <w:pPr>
              <w:widowControl/>
              <w:jc w:val="left"/>
              <w:rPr>
                <w:rFonts w:ascii="宋体" w:hAnsi="宋体" w:cs="宋体"/>
                <w:kern w:val="0"/>
                <w:sz w:val="20"/>
                <w:szCs w:val="20"/>
              </w:rPr>
            </w:pPr>
            <w:r>
              <w:rPr>
                <w:rFonts w:hint="eastAsia" w:ascii="宋体" w:hAnsi="宋体" w:cs="宋体"/>
                <w:kern w:val="0"/>
                <w:sz w:val="20"/>
                <w:szCs w:val="20"/>
              </w:rPr>
              <w:t>填报日期：</w:t>
            </w:r>
          </w:p>
        </w:tc>
      </w:tr>
      <w:tr>
        <w:tblPrEx>
          <w:tblCellMar>
            <w:top w:w="0" w:type="dxa"/>
            <w:left w:w="108" w:type="dxa"/>
            <w:bottom w:w="0" w:type="dxa"/>
            <w:right w:w="108" w:type="dxa"/>
          </w:tblCellMar>
        </w:tblPrEx>
        <w:tc>
          <w:tcPr>
            <w:tcW w:w="571" w:type="dxa"/>
            <w:tcBorders>
              <w:top w:val="nil"/>
              <w:left w:val="nil"/>
              <w:bottom w:val="nil"/>
              <w:right w:val="nil"/>
            </w:tcBorders>
            <w:vAlign w:val="center"/>
          </w:tcPr>
          <w:p>
            <w:pPr>
              <w:widowControl/>
              <w:jc w:val="left"/>
              <w:rPr>
                <w:rFonts w:ascii="宋体" w:hAnsi="宋体" w:cs="宋体"/>
                <w:kern w:val="0"/>
                <w:sz w:val="1"/>
              </w:rPr>
            </w:pPr>
          </w:p>
        </w:tc>
        <w:tc>
          <w:tcPr>
            <w:tcW w:w="1142" w:type="dxa"/>
            <w:tcBorders>
              <w:top w:val="nil"/>
              <w:left w:val="nil"/>
              <w:bottom w:val="nil"/>
              <w:right w:val="nil"/>
            </w:tcBorders>
            <w:vAlign w:val="center"/>
          </w:tcPr>
          <w:p>
            <w:pPr>
              <w:widowControl/>
              <w:jc w:val="left"/>
              <w:rPr>
                <w:rFonts w:ascii="宋体" w:hAnsi="宋体" w:cs="宋体"/>
                <w:kern w:val="0"/>
                <w:sz w:val="1"/>
              </w:rPr>
            </w:pPr>
          </w:p>
        </w:tc>
        <w:tc>
          <w:tcPr>
            <w:tcW w:w="1142" w:type="dxa"/>
            <w:tcBorders>
              <w:top w:val="nil"/>
              <w:left w:val="nil"/>
              <w:bottom w:val="nil"/>
              <w:right w:val="nil"/>
            </w:tcBorders>
            <w:vAlign w:val="center"/>
          </w:tcPr>
          <w:p>
            <w:pPr>
              <w:widowControl/>
              <w:jc w:val="left"/>
              <w:rPr>
                <w:rFonts w:ascii="宋体" w:hAnsi="宋体" w:cs="宋体"/>
                <w:kern w:val="0"/>
                <w:sz w:val="1"/>
              </w:rPr>
            </w:pPr>
          </w:p>
        </w:tc>
        <w:tc>
          <w:tcPr>
            <w:tcW w:w="1142" w:type="dxa"/>
            <w:tcBorders>
              <w:top w:val="nil"/>
              <w:left w:val="nil"/>
              <w:bottom w:val="nil"/>
              <w:right w:val="nil"/>
            </w:tcBorders>
            <w:vAlign w:val="center"/>
          </w:tcPr>
          <w:p>
            <w:pPr>
              <w:widowControl/>
              <w:jc w:val="left"/>
              <w:rPr>
                <w:rFonts w:ascii="宋体" w:hAnsi="宋体" w:cs="宋体"/>
                <w:kern w:val="0"/>
                <w:sz w:val="1"/>
              </w:rPr>
            </w:pPr>
          </w:p>
        </w:tc>
        <w:tc>
          <w:tcPr>
            <w:tcW w:w="1155" w:type="dxa"/>
            <w:tcBorders>
              <w:top w:val="nil"/>
              <w:left w:val="nil"/>
              <w:bottom w:val="nil"/>
              <w:right w:val="nil"/>
            </w:tcBorders>
            <w:vAlign w:val="center"/>
          </w:tcPr>
          <w:p>
            <w:pPr>
              <w:widowControl/>
              <w:jc w:val="left"/>
              <w:rPr>
                <w:rFonts w:ascii="宋体" w:hAnsi="宋体" w:cs="宋体"/>
                <w:kern w:val="0"/>
                <w:sz w:val="1"/>
              </w:rPr>
            </w:pPr>
          </w:p>
        </w:tc>
        <w:tc>
          <w:tcPr>
            <w:tcW w:w="1050" w:type="dxa"/>
            <w:tcBorders>
              <w:top w:val="nil"/>
              <w:left w:val="nil"/>
              <w:bottom w:val="nil"/>
              <w:right w:val="nil"/>
            </w:tcBorders>
            <w:vAlign w:val="center"/>
          </w:tcPr>
          <w:p>
            <w:pPr>
              <w:widowControl/>
              <w:jc w:val="left"/>
              <w:rPr>
                <w:rFonts w:ascii="宋体" w:hAnsi="宋体" w:cs="宋体"/>
                <w:kern w:val="0"/>
                <w:sz w:val="1"/>
              </w:rPr>
            </w:pPr>
          </w:p>
        </w:tc>
        <w:tc>
          <w:tcPr>
            <w:tcW w:w="1155" w:type="dxa"/>
            <w:tcBorders>
              <w:top w:val="nil"/>
              <w:left w:val="nil"/>
              <w:bottom w:val="nil"/>
              <w:right w:val="nil"/>
            </w:tcBorders>
            <w:vAlign w:val="center"/>
          </w:tcPr>
          <w:p>
            <w:pPr>
              <w:widowControl/>
              <w:jc w:val="left"/>
              <w:rPr>
                <w:rFonts w:ascii="宋体" w:hAnsi="宋体" w:cs="宋体"/>
                <w:kern w:val="0"/>
                <w:sz w:val="1"/>
              </w:rPr>
            </w:pPr>
          </w:p>
        </w:tc>
        <w:tc>
          <w:tcPr>
            <w:tcW w:w="315" w:type="dxa"/>
            <w:tcBorders>
              <w:top w:val="nil"/>
              <w:left w:val="nil"/>
              <w:bottom w:val="nil"/>
              <w:right w:val="nil"/>
            </w:tcBorders>
            <w:vAlign w:val="center"/>
          </w:tcPr>
          <w:p>
            <w:pPr>
              <w:widowControl/>
              <w:jc w:val="left"/>
              <w:rPr>
                <w:rFonts w:ascii="宋体" w:hAnsi="宋体" w:cs="宋体"/>
                <w:kern w:val="0"/>
                <w:sz w:val="1"/>
              </w:rPr>
            </w:pPr>
          </w:p>
        </w:tc>
        <w:tc>
          <w:tcPr>
            <w:tcW w:w="1217" w:type="dxa"/>
            <w:tcBorders>
              <w:top w:val="nil"/>
              <w:left w:val="nil"/>
              <w:bottom w:val="nil"/>
              <w:right w:val="nil"/>
            </w:tcBorders>
            <w:vAlign w:val="center"/>
          </w:tcPr>
          <w:p>
            <w:pPr>
              <w:widowControl/>
              <w:jc w:val="left"/>
              <w:rPr>
                <w:rFonts w:ascii="宋体" w:hAnsi="宋体" w:cs="宋体"/>
                <w:kern w:val="0"/>
                <w:sz w:val="1"/>
              </w:rPr>
            </w:pPr>
          </w:p>
        </w:tc>
        <w:tc>
          <w:tcPr>
            <w:tcW w:w="885" w:type="dxa"/>
            <w:tcBorders>
              <w:top w:val="nil"/>
              <w:left w:val="nil"/>
              <w:bottom w:val="nil"/>
              <w:right w:val="nil"/>
            </w:tcBorders>
            <w:vAlign w:val="center"/>
          </w:tcPr>
          <w:p>
            <w:pPr>
              <w:widowControl/>
              <w:jc w:val="left"/>
              <w:rPr>
                <w:rFonts w:ascii="宋体" w:hAnsi="宋体" w:cs="宋体"/>
                <w:kern w:val="0"/>
                <w:sz w:val="1"/>
              </w:rPr>
            </w:pPr>
          </w:p>
        </w:tc>
        <w:tc>
          <w:tcPr>
            <w:tcW w:w="735" w:type="dxa"/>
            <w:tcBorders>
              <w:top w:val="nil"/>
              <w:left w:val="nil"/>
              <w:bottom w:val="nil"/>
              <w:right w:val="nil"/>
            </w:tcBorders>
            <w:vAlign w:val="center"/>
          </w:tcPr>
          <w:p>
            <w:pPr>
              <w:widowControl/>
              <w:jc w:val="left"/>
              <w:rPr>
                <w:rFonts w:ascii="宋体" w:hAnsi="宋体" w:cs="宋体"/>
                <w:kern w:val="0"/>
                <w:sz w:val="1"/>
              </w:rPr>
            </w:pPr>
          </w:p>
        </w:tc>
        <w:tc>
          <w:tcPr>
            <w:tcW w:w="304" w:type="dxa"/>
            <w:tcBorders>
              <w:top w:val="nil"/>
              <w:left w:val="nil"/>
              <w:bottom w:val="nil"/>
              <w:right w:val="nil"/>
            </w:tcBorders>
            <w:vAlign w:val="center"/>
          </w:tcPr>
          <w:p>
            <w:pPr>
              <w:widowControl/>
              <w:jc w:val="left"/>
              <w:rPr>
                <w:rFonts w:ascii="宋体" w:hAnsi="宋体" w:cs="宋体"/>
                <w:kern w:val="0"/>
                <w:sz w:val="1"/>
              </w:rPr>
            </w:pPr>
          </w:p>
        </w:tc>
        <w:tc>
          <w:tcPr>
            <w:tcW w:w="855" w:type="dxa"/>
            <w:tcBorders>
              <w:top w:val="nil"/>
              <w:left w:val="nil"/>
              <w:bottom w:val="nil"/>
              <w:right w:val="nil"/>
            </w:tcBorders>
            <w:vAlign w:val="center"/>
          </w:tcPr>
          <w:p>
            <w:pPr>
              <w:widowControl/>
              <w:jc w:val="left"/>
              <w:rPr>
                <w:rFonts w:ascii="宋体" w:hAnsi="宋体" w:cs="宋体"/>
                <w:kern w:val="0"/>
                <w:sz w:val="1"/>
              </w:rPr>
            </w:pPr>
          </w:p>
        </w:tc>
        <w:tc>
          <w:tcPr>
            <w:tcW w:w="1365" w:type="dxa"/>
            <w:tcBorders>
              <w:top w:val="nil"/>
              <w:left w:val="nil"/>
              <w:bottom w:val="nil"/>
              <w:right w:val="nil"/>
            </w:tcBorders>
            <w:vAlign w:val="center"/>
          </w:tcPr>
          <w:p>
            <w:pPr>
              <w:widowControl/>
              <w:jc w:val="left"/>
              <w:rPr>
                <w:rFonts w:ascii="宋体" w:hAnsi="宋体" w:cs="宋体"/>
                <w:kern w:val="0"/>
                <w:sz w:val="1"/>
              </w:rPr>
            </w:pPr>
          </w:p>
        </w:tc>
        <w:tc>
          <w:tcPr>
            <w:tcW w:w="797" w:type="dxa"/>
            <w:tcBorders>
              <w:top w:val="nil"/>
              <w:left w:val="nil"/>
              <w:bottom w:val="nil"/>
              <w:right w:val="nil"/>
            </w:tcBorders>
            <w:vAlign w:val="center"/>
          </w:tcPr>
          <w:p>
            <w:pPr>
              <w:widowControl/>
              <w:jc w:val="left"/>
              <w:rPr>
                <w:rFonts w:ascii="宋体" w:hAnsi="宋体" w:cs="宋体"/>
                <w:kern w:val="0"/>
                <w:sz w:val="1"/>
              </w:rPr>
            </w:pPr>
          </w:p>
        </w:tc>
      </w:tr>
    </w:tbl>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94A32"/>
    <w:rsid w:val="00194A32"/>
    <w:rsid w:val="00311408"/>
    <w:rsid w:val="004A3472"/>
    <w:rsid w:val="009F0C7A"/>
    <w:rsid w:val="00CB47AA"/>
    <w:rsid w:val="00CD13DB"/>
    <w:rsid w:val="00FB62CB"/>
    <w:rsid w:val="00FF3E63"/>
    <w:rsid w:val="42E40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638</Words>
  <Characters>3643</Characters>
  <Lines>30</Lines>
  <Paragraphs>8</Paragraphs>
  <TotalTime>4</TotalTime>
  <ScaleCrop>false</ScaleCrop>
  <LinksUpToDate>false</LinksUpToDate>
  <CharactersWithSpaces>4273</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2018-04-02T08:47:00Z</dcterms:created>
  <dc:creator> </dc:creator>
  <cp:lastModifiedBy>王允希</cp:lastModifiedBy>
  <dcterms:modified xsi:type="dcterms:W3CDTF">2022-04-12T07:11:31Z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