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32"/>
          <w:szCs w:val="32"/>
        </w:rPr>
      </w:pPr>
      <w:r>
        <w:rPr>
          <w:rFonts w:hint="eastAsia" w:ascii="黑体" w:hAnsi="黑体" w:eastAsia="黑体"/>
          <w:sz w:val="32"/>
          <w:szCs w:val="32"/>
        </w:rPr>
        <w:t>附件</w:t>
      </w:r>
      <w:r>
        <w:rPr>
          <w:rFonts w:hint="eastAsia" w:ascii="黑体" w:hAnsi="黑体" w:eastAsia="黑体"/>
          <w:sz w:val="32"/>
          <w:szCs w:val="32"/>
          <w:lang w:val="en-US" w:eastAsia="zh-CN"/>
        </w:rPr>
        <w:t>四</w:t>
      </w:r>
      <w:bookmarkStart w:id="0" w:name="_GoBack"/>
      <w:bookmarkEnd w:id="0"/>
      <w:r>
        <w:rPr>
          <w:rFonts w:hint="eastAsia" w:ascii="黑体" w:hAnsi="黑体" w:eastAsia="黑体"/>
          <w:sz w:val="32"/>
          <w:szCs w:val="32"/>
        </w:rPr>
        <w:t>（1）</w:t>
      </w:r>
    </w:p>
    <w:tbl>
      <w:tblPr>
        <w:tblStyle w:val="5"/>
        <w:tblW w:w="10024" w:type="dxa"/>
        <w:tblInd w:w="-318" w:type="dxa"/>
        <w:tblLayout w:type="autofit"/>
        <w:tblCellMar>
          <w:top w:w="0" w:type="dxa"/>
          <w:left w:w="108" w:type="dxa"/>
          <w:bottom w:w="0" w:type="dxa"/>
          <w:right w:w="108" w:type="dxa"/>
        </w:tblCellMar>
      </w:tblPr>
      <w:tblGrid>
        <w:gridCol w:w="710"/>
        <w:gridCol w:w="1843"/>
        <w:gridCol w:w="6095"/>
        <w:gridCol w:w="1376"/>
      </w:tblGrid>
      <w:tr>
        <w:tblPrEx>
          <w:tblCellMar>
            <w:top w:w="0" w:type="dxa"/>
            <w:left w:w="108" w:type="dxa"/>
            <w:bottom w:w="0" w:type="dxa"/>
            <w:right w:w="108" w:type="dxa"/>
          </w:tblCellMar>
        </w:tblPrEx>
        <w:trPr>
          <w:trHeight w:val="405" w:hRule="atLeast"/>
        </w:trPr>
        <w:tc>
          <w:tcPr>
            <w:tcW w:w="10024" w:type="dxa"/>
            <w:gridSpan w:val="4"/>
            <w:tcBorders>
              <w:top w:val="nil"/>
              <w:left w:val="nil"/>
              <w:bottom w:val="nil"/>
              <w:right w:val="nil"/>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22"/>
                <w:szCs w:val="18"/>
              </w:rPr>
              <w:t>其他项目报送资料受理表(一般事项)</w:t>
            </w:r>
          </w:p>
        </w:tc>
      </w:tr>
      <w:tr>
        <w:tblPrEx>
          <w:tblCellMar>
            <w:top w:w="0" w:type="dxa"/>
            <w:left w:w="108" w:type="dxa"/>
            <w:bottom w:w="0" w:type="dxa"/>
            <w:right w:w="108" w:type="dxa"/>
          </w:tblCellMar>
        </w:tblPrEx>
        <w:trPr>
          <w:trHeight w:val="420" w:hRule="atLeast"/>
        </w:trPr>
        <w:tc>
          <w:tcPr>
            <w:tcW w:w="10024" w:type="dxa"/>
            <w:gridSpan w:val="4"/>
            <w:tcBorders>
              <w:top w:val="nil"/>
              <w:left w:val="nil"/>
              <w:bottom w:val="nil"/>
              <w:right w:val="nil"/>
            </w:tcBorders>
            <w:shd w:val="clear" w:color="auto" w:fill="auto"/>
            <w:noWrap/>
            <w:vAlign w:val="bottom"/>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企业名称                                税号                                   联系电话</w:t>
            </w:r>
          </w:p>
        </w:tc>
      </w:tr>
      <w:tr>
        <w:tblPrEx>
          <w:tblCellMar>
            <w:top w:w="0" w:type="dxa"/>
            <w:left w:w="108" w:type="dxa"/>
            <w:bottom w:w="0" w:type="dxa"/>
            <w:right w:w="108" w:type="dxa"/>
          </w:tblCellMar>
        </w:tblPrEx>
        <w:trPr>
          <w:trHeight w:val="379" w:hRule="atLeast"/>
        </w:trPr>
        <w:tc>
          <w:tcPr>
            <w:tcW w:w="7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18"/>
              </w:rPr>
            </w:pPr>
            <w:r>
              <w:rPr>
                <w:rFonts w:hint="eastAsia" w:ascii="宋体" w:hAnsi="宋体" w:cs="宋体"/>
                <w:color w:val="000000"/>
                <w:kern w:val="0"/>
                <w:szCs w:val="18"/>
              </w:rPr>
              <w:t>序号</w:t>
            </w:r>
          </w:p>
        </w:tc>
        <w:tc>
          <w:tcPr>
            <w:tcW w:w="18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18"/>
              </w:rPr>
            </w:pPr>
            <w:r>
              <w:rPr>
                <w:rFonts w:hint="eastAsia" w:ascii="宋体" w:hAnsi="宋体" w:cs="宋体"/>
                <w:color w:val="000000"/>
                <w:kern w:val="0"/>
                <w:szCs w:val="18"/>
              </w:rPr>
              <w:t>事项</w:t>
            </w:r>
          </w:p>
        </w:tc>
        <w:tc>
          <w:tcPr>
            <w:tcW w:w="609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18"/>
              </w:rPr>
            </w:pPr>
            <w:r>
              <w:rPr>
                <w:rFonts w:hint="eastAsia" w:ascii="宋体" w:hAnsi="宋体" w:cs="宋体"/>
                <w:color w:val="000000"/>
                <w:kern w:val="0"/>
                <w:szCs w:val="18"/>
              </w:rPr>
              <w:t>附报资料</w:t>
            </w:r>
          </w:p>
        </w:tc>
        <w:tc>
          <w:tcPr>
            <w:tcW w:w="13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Cs w:val="18"/>
              </w:rPr>
            </w:pPr>
            <w:r>
              <w:rPr>
                <w:rFonts w:hint="eastAsia" w:ascii="宋体" w:hAnsi="宋体" w:cs="宋体"/>
                <w:color w:val="000000"/>
                <w:kern w:val="0"/>
                <w:szCs w:val="18"/>
              </w:rPr>
              <w:t>受理情况</w:t>
            </w:r>
          </w:p>
        </w:tc>
      </w:tr>
      <w:tr>
        <w:tblPrEx>
          <w:tblCellMar>
            <w:top w:w="0" w:type="dxa"/>
            <w:left w:w="108" w:type="dxa"/>
            <w:bottom w:w="0" w:type="dxa"/>
            <w:right w:w="108" w:type="dxa"/>
          </w:tblCellMar>
        </w:tblPrEx>
        <w:trPr>
          <w:trHeight w:val="199" w:hRule="atLeast"/>
        </w:trPr>
        <w:tc>
          <w:tcPr>
            <w:tcW w:w="71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843"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政策性搬迁</w:t>
            </w: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1)《其他项目报送资料受理表》2份;</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(2)政府搬迁文件或公告;</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(3)搬迁重置总体规划;</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(4)拆迁补偿协议;</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(5)资产处置计划;</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(6)企业搬迁完成当年应同时报送《企业政策性搬迁清算损益表》。</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90" w:hRule="atLeast"/>
        </w:trPr>
        <w:tc>
          <w:tcPr>
            <w:tcW w:w="71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1843" w:type="dxa"/>
            <w:vMerge w:val="restart"/>
            <w:tcBorders>
              <w:top w:val="nil"/>
              <w:left w:val="single" w:color="auto" w:sz="4" w:space="0"/>
              <w:bottom w:val="single" w:color="auto" w:sz="4" w:space="0"/>
              <w:right w:val="single" w:color="auto" w:sz="4" w:space="0"/>
            </w:tcBorders>
            <w:shd w:val="clear" w:color="auto" w:fill="auto"/>
            <w:vAlign w:val="center"/>
          </w:tcPr>
          <w:p>
            <w:pPr>
              <w:widowControl/>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非金融企业</w:t>
            </w:r>
          </w:p>
          <w:p>
            <w:pPr>
              <w:widowControl/>
              <w:ind w:left="180" w:hanging="180" w:hangingChars="100"/>
              <w:jc w:val="left"/>
              <w:rPr>
                <w:rFonts w:ascii="宋体" w:hAnsi="宋体" w:cs="宋体"/>
                <w:color w:val="000000"/>
                <w:kern w:val="0"/>
                <w:sz w:val="18"/>
                <w:szCs w:val="18"/>
              </w:rPr>
            </w:pPr>
            <w:r>
              <w:rPr>
                <w:rFonts w:hint="eastAsia" w:ascii="宋体" w:hAnsi="宋体" w:cs="宋体"/>
                <w:color w:val="000000"/>
                <w:kern w:val="0"/>
                <w:sz w:val="18"/>
                <w:szCs w:val="18"/>
              </w:rPr>
              <w:t>□向非金融企业</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借款的利息支出</w:t>
            </w: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(1)《其他项目报送资料受理表》2份;</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540" w:hRule="atLeast"/>
        </w:trPr>
        <w:tc>
          <w:tcPr>
            <w:tcW w:w="7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(2)在按照合同要求首次支付利息并进行税前扣除时，提供金融企业的同期同类贷款利率情况说明</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55" w:hRule="atLeast"/>
        </w:trPr>
        <w:tc>
          <w:tcPr>
            <w:tcW w:w="71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843" w:type="dxa"/>
            <w:vMerge w:val="restart"/>
            <w:tcBorders>
              <w:top w:val="nil"/>
              <w:left w:val="single" w:color="auto" w:sz="4" w:space="0"/>
              <w:bottom w:val="single" w:color="000000" w:sz="4" w:space="0"/>
              <w:right w:val="single" w:color="auto" w:sz="4" w:space="0"/>
            </w:tcBorders>
            <w:shd w:val="clear" w:color="auto" w:fill="auto"/>
            <w:vAlign w:val="center"/>
          </w:tcPr>
          <w:p>
            <w:pPr>
              <w:widowControl/>
              <w:ind w:firstLine="180" w:firstLineChars="100"/>
              <w:jc w:val="left"/>
              <w:rPr>
                <w:rFonts w:ascii="宋体" w:hAnsi="宋体" w:cs="宋体"/>
                <w:color w:val="000000"/>
                <w:kern w:val="0"/>
                <w:sz w:val="18"/>
                <w:szCs w:val="18"/>
              </w:rPr>
            </w:pPr>
            <w:r>
              <w:rPr>
                <w:rFonts w:hint="eastAsia" w:ascii="宋体" w:hAnsi="宋体" w:cs="宋体"/>
                <w:color w:val="000000"/>
                <w:kern w:val="0"/>
                <w:sz w:val="18"/>
                <w:szCs w:val="18"/>
              </w:rPr>
              <w:t>子公司向</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□母公司支付</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 xml:space="preserve">  服务费用</w:t>
            </w: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(1)《其他项目报送资料受理表》2份;</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510" w:hRule="atLeast"/>
        </w:trPr>
        <w:tc>
          <w:tcPr>
            <w:tcW w:w="7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(2)与母公司签订的服务合同或者协议等与税前扣除该项费用相关的材料。</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1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843" w:type="dxa"/>
            <w:vMerge w:val="restart"/>
            <w:tcBorders>
              <w:top w:val="nil"/>
              <w:left w:val="single" w:color="auto" w:sz="4" w:space="0"/>
              <w:bottom w:val="single" w:color="000000" w:sz="4" w:space="0"/>
              <w:right w:val="single" w:color="auto" w:sz="4" w:space="0"/>
            </w:tcBorders>
            <w:shd w:val="clear" w:color="auto" w:fill="auto"/>
            <w:vAlign w:val="center"/>
          </w:tcPr>
          <w:p>
            <w:pPr>
              <w:widowControl/>
              <w:ind w:left="360" w:hanging="360" w:hangingChars="200"/>
              <w:jc w:val="left"/>
              <w:rPr>
                <w:rFonts w:ascii="宋体" w:hAnsi="宋体" w:cs="宋体"/>
                <w:color w:val="000000"/>
                <w:kern w:val="0"/>
                <w:sz w:val="18"/>
                <w:szCs w:val="18"/>
              </w:rPr>
            </w:pPr>
            <w:r>
              <w:rPr>
                <w:rFonts w:hint="eastAsia" w:ascii="宋体" w:hAnsi="宋体" w:cs="宋体"/>
                <w:color w:val="000000"/>
                <w:kern w:val="0"/>
                <w:sz w:val="18"/>
                <w:szCs w:val="18"/>
              </w:rPr>
              <w:t>□  手续费及</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佣金支出</w:t>
            </w: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(1)《其他项目报送资料受理表》2份;</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(2)服务协议或合同;</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(3)支付方式证明材料(向非个人为转账凭证等，向个人支付为对方收款凭证等)</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(4)当年手续费及佣金计算分配表</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(5)合法真实税前扣除凭证(发票或代扣个人所得税凭证)。</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50" w:hRule="atLeast"/>
        </w:trPr>
        <w:tc>
          <w:tcPr>
            <w:tcW w:w="71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843" w:type="dxa"/>
            <w:vMerge w:val="restart"/>
            <w:tcBorders>
              <w:top w:val="nil"/>
              <w:left w:val="single" w:color="auto" w:sz="4" w:space="0"/>
              <w:bottom w:val="single" w:color="000000" w:sz="4" w:space="0"/>
              <w:right w:val="single" w:color="auto" w:sz="4" w:space="0"/>
            </w:tcBorders>
            <w:shd w:val="clear" w:color="auto" w:fill="auto"/>
            <w:vAlign w:val="center"/>
          </w:tcPr>
          <w:p>
            <w:pPr>
              <w:widowControl/>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有直接管理项目</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  部的跨地区建筑</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 xml:space="preserve">    企业总机构 </w:t>
            </w: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(1)《其他项目报送资料受理表》2份;</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516" w:hRule="atLeast"/>
        </w:trPr>
        <w:tc>
          <w:tcPr>
            <w:tcW w:w="7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(2)跨地区经营项目部就地预缴税款的完税证明。</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1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1843" w:type="dxa"/>
            <w:vMerge w:val="restart"/>
            <w:tcBorders>
              <w:top w:val="nil"/>
              <w:left w:val="single" w:color="auto" w:sz="4" w:space="0"/>
              <w:bottom w:val="single" w:color="000000" w:sz="4" w:space="0"/>
              <w:right w:val="single" w:color="auto" w:sz="4" w:space="0"/>
            </w:tcBorders>
            <w:shd w:val="clear" w:color="auto" w:fill="auto"/>
            <w:vAlign w:val="center"/>
          </w:tcPr>
          <w:p>
            <w:pPr>
              <w:widowControl/>
              <w:ind w:left="270" w:hanging="270" w:hangingChars="150"/>
              <w:jc w:val="left"/>
              <w:rPr>
                <w:rFonts w:ascii="宋体" w:hAnsi="宋体" w:cs="宋体"/>
                <w:color w:val="000000"/>
                <w:kern w:val="0"/>
                <w:sz w:val="18"/>
                <w:szCs w:val="18"/>
              </w:rPr>
            </w:pPr>
            <w:r>
              <w:rPr>
                <w:rFonts w:hint="eastAsia" w:ascii="宋体" w:hAnsi="宋体" w:cs="宋体"/>
                <w:color w:val="000000"/>
                <w:kern w:val="0"/>
                <w:sz w:val="18"/>
                <w:szCs w:val="18"/>
              </w:rPr>
              <w:t>□ 中小企业信用</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担保机构准备金</w:t>
            </w: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(1)《其他项目报送资料受理表》2份;</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(2)法人执照副本复印件;</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(3)融资性担保机构监管部门颁发的经营许可证复印件;</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540" w:hRule="atLeast"/>
        </w:trPr>
        <w:tc>
          <w:tcPr>
            <w:tcW w:w="7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(4)具有资质的中介机构见证的年度会计报表和担保业务情况(包括担保业务明细和风险准备金提取等)</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35" w:hRule="atLeast"/>
        </w:trPr>
        <w:tc>
          <w:tcPr>
            <w:tcW w:w="7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1843" w:type="dxa"/>
            <w:vMerge w:val="restart"/>
            <w:tcBorders>
              <w:top w:val="nil"/>
              <w:left w:val="single" w:color="auto" w:sz="4" w:space="0"/>
              <w:bottom w:val="single" w:color="000000" w:sz="4" w:space="0"/>
              <w:right w:val="single" w:color="auto" w:sz="4" w:space="0"/>
            </w:tcBorders>
            <w:shd w:val="clear" w:color="auto" w:fill="auto"/>
            <w:vAlign w:val="center"/>
          </w:tcPr>
          <w:p>
            <w:pPr>
              <w:widowControl/>
              <w:ind w:left="270" w:hanging="270" w:hangingChars="150"/>
              <w:jc w:val="left"/>
              <w:rPr>
                <w:rFonts w:ascii="宋体" w:hAnsi="宋体" w:cs="宋体"/>
                <w:color w:val="000000"/>
                <w:kern w:val="0"/>
                <w:sz w:val="18"/>
                <w:szCs w:val="18"/>
              </w:rPr>
            </w:pPr>
            <w:r>
              <w:rPr>
                <w:rFonts w:hint="eastAsia" w:ascii="宋体" w:hAnsi="宋体" w:cs="宋体"/>
                <w:color w:val="000000"/>
                <w:kern w:val="0"/>
                <w:sz w:val="18"/>
                <w:szCs w:val="18"/>
              </w:rPr>
              <w:t>□ 保险公司农业</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巨灾风险准备金</w:t>
            </w:r>
          </w:p>
        </w:tc>
        <w:tc>
          <w:tcPr>
            <w:tcW w:w="6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(1)《其他项目报送资料受理表》2份;</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(2)巨灾风险准备金提取、使用情况的说明;</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270" w:hRule="atLeast"/>
        </w:trPr>
        <w:tc>
          <w:tcPr>
            <w:tcW w:w="7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(3)巨灾风险准备金扣除相关报表。</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09" w:hRule="atLeast"/>
        </w:trPr>
        <w:tc>
          <w:tcPr>
            <w:tcW w:w="710"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1843" w:type="dxa"/>
            <w:vMerge w:val="restart"/>
            <w:tcBorders>
              <w:top w:val="nil"/>
              <w:left w:val="single" w:color="auto" w:sz="4" w:space="0"/>
              <w:bottom w:val="single" w:color="000000" w:sz="4" w:space="0"/>
              <w:right w:val="single" w:color="auto" w:sz="4" w:space="0"/>
            </w:tcBorders>
            <w:shd w:val="clear" w:color="auto" w:fill="auto"/>
            <w:vAlign w:val="center"/>
          </w:tcPr>
          <w:p>
            <w:pPr>
              <w:widowControl/>
              <w:ind w:left="270" w:hanging="270" w:hangingChars="150"/>
              <w:jc w:val="left"/>
              <w:rPr>
                <w:rFonts w:ascii="宋体" w:hAnsi="宋体" w:cs="宋体"/>
                <w:color w:val="000000"/>
                <w:kern w:val="0"/>
                <w:sz w:val="18"/>
                <w:szCs w:val="18"/>
              </w:rPr>
            </w:pPr>
            <w:r>
              <w:rPr>
                <w:rFonts w:hint="eastAsia" w:ascii="宋体" w:hAnsi="宋体" w:cs="宋体"/>
                <w:color w:val="000000"/>
                <w:kern w:val="0"/>
                <w:sz w:val="18"/>
                <w:szCs w:val="18"/>
              </w:rPr>
              <w:t>□ 以前年度发生</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应扣未扣支出</w:t>
            </w:r>
          </w:p>
        </w:tc>
        <w:tc>
          <w:tcPr>
            <w:tcW w:w="60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(1)《其他项目报送资料受理表》2份;</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540" w:hRule="atLeast"/>
        </w:trPr>
        <w:tc>
          <w:tcPr>
            <w:tcW w:w="7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(2)专项说明(包括以前年度应扣未扣项目、原因、金额、税前扣除的所属年度、会计处理、对所属年度所得税的影响额(增加亏损、涉及减免税</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409" w:hRule="atLeast"/>
        </w:trPr>
        <w:tc>
          <w:tcPr>
            <w:tcW w:w="710"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p>
        </w:tc>
        <w:tc>
          <w:tcPr>
            <w:tcW w:w="1843" w:type="dxa"/>
            <w:vMerge w:val="restart"/>
            <w:tcBorders>
              <w:top w:val="single" w:color="auto" w:sz="4" w:space="0"/>
              <w:left w:val="single" w:color="auto" w:sz="4" w:space="0"/>
              <w:right w:val="single" w:color="auto" w:sz="4" w:space="0"/>
            </w:tcBorders>
            <w:vAlign w:val="center"/>
          </w:tcPr>
          <w:p>
            <w:pPr>
              <w:pStyle w:val="9"/>
              <w:widowControl/>
              <w:numPr>
                <w:ilvl w:val="0"/>
                <w:numId w:val="1"/>
              </w:numPr>
              <w:ind w:firstLineChars="0"/>
              <w:jc w:val="left"/>
              <w:rPr>
                <w:rFonts w:ascii="宋体" w:hAnsi="宋体" w:cs="宋体"/>
                <w:color w:val="000000"/>
                <w:kern w:val="0"/>
                <w:sz w:val="18"/>
                <w:szCs w:val="18"/>
              </w:rPr>
            </w:pPr>
            <w:r>
              <w:rPr>
                <w:rFonts w:hint="eastAsia" w:ascii="宋体" w:hAnsi="宋体" w:cs="宋体"/>
                <w:color w:val="000000"/>
                <w:kern w:val="0"/>
                <w:sz w:val="18"/>
                <w:szCs w:val="18"/>
              </w:rPr>
              <w:t>股权激励</w:t>
            </w:r>
          </w:p>
          <w:p>
            <w:pPr>
              <w:widowControl/>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与技术入股</w:t>
            </w:r>
          </w:p>
        </w:tc>
        <w:tc>
          <w:tcPr>
            <w:tcW w:w="609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(1)《其他项目报送资料受理表》2份;</w:t>
            </w:r>
          </w:p>
        </w:tc>
        <w:tc>
          <w:tcPr>
            <w:tcW w:w="1376"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73" w:hRule="atLeast"/>
        </w:trPr>
        <w:tc>
          <w:tcPr>
            <w:tcW w:w="710"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color w:val="000000"/>
                <w:kern w:val="0"/>
                <w:sz w:val="18"/>
                <w:szCs w:val="18"/>
              </w:rPr>
            </w:pPr>
            <w:r>
              <w:rPr>
                <w:rFonts w:hint="eastAsia" w:ascii="宋体" w:hAnsi="宋体" w:cs="宋体"/>
                <w:color w:val="000000"/>
                <w:kern w:val="0"/>
                <w:sz w:val="18"/>
                <w:szCs w:val="18"/>
              </w:rPr>
              <w:t>(2)《技术成果投资入股企业所得税递延纳税备案表》。</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540" w:hRule="atLeast"/>
        </w:trPr>
        <w:tc>
          <w:tcPr>
            <w:tcW w:w="710"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1843"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p>
        </w:tc>
        <w:tc>
          <w:tcPr>
            <w:tcW w:w="609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(3)</w:t>
            </w:r>
            <w:r>
              <w:rPr>
                <w:rFonts w:hint="eastAsia" w:ascii="宋体" w:hAnsi="宋体" w:cs="宋体"/>
                <w:kern w:val="0"/>
                <w:sz w:val="20"/>
                <w:szCs w:val="20"/>
              </w:rPr>
              <w:t>技术成果相关证书或证明材料、技术成果投资入股协议、技术成果评估报告等资料。</w:t>
            </w:r>
          </w:p>
        </w:tc>
        <w:tc>
          <w:tcPr>
            <w:tcW w:w="13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684" w:hRule="atLeast"/>
        </w:trPr>
        <w:tc>
          <w:tcPr>
            <w:tcW w:w="10024" w:type="dxa"/>
            <w:gridSpan w:val="4"/>
            <w:tcBorders>
              <w:top w:val="single" w:color="auto" w:sz="4" w:space="0"/>
              <w:left w:val="single" w:color="auto" w:sz="4" w:space="0"/>
              <w:bottom w:val="single" w:color="auto" w:sz="4" w:space="0"/>
              <w:right w:val="single" w:color="000000" w:sz="4" w:space="0"/>
            </w:tcBorders>
            <w:shd w:val="clear" w:color="auto" w:fill="auto"/>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申明:我单位知悉与所报事项相关的全部税收政策和管理要求，此表是根据《中华人民共和国企业所得税法》及其实施条例和国家有关税收规定填报的，是真实、完整的，提交的资料真实、合法、有效。</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 xml:space="preserve">      财务负责人：                                            企业名称(盖章):</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 xml:space="preserve">                                                             法人代表(签章):   年   月   日</w:t>
            </w:r>
          </w:p>
        </w:tc>
      </w:tr>
      <w:tr>
        <w:tblPrEx>
          <w:tblCellMar>
            <w:top w:w="0" w:type="dxa"/>
            <w:left w:w="108" w:type="dxa"/>
            <w:bottom w:w="0" w:type="dxa"/>
            <w:right w:w="108" w:type="dxa"/>
          </w:tblCellMar>
        </w:tblPrEx>
        <w:trPr>
          <w:trHeight w:val="2145" w:hRule="atLeast"/>
        </w:trPr>
        <w:tc>
          <w:tcPr>
            <w:tcW w:w="10024" w:type="dxa"/>
            <w:gridSpan w:val="4"/>
            <w:tcBorders>
              <w:top w:val="single" w:color="auto" w:sz="4" w:space="0"/>
              <w:left w:val="single" w:color="auto" w:sz="4" w:space="0"/>
              <w:bottom w:val="single" w:color="auto" w:sz="4" w:space="0"/>
              <w:right w:val="single" w:color="000000" w:sz="4" w:space="0"/>
            </w:tcBorders>
            <w:shd w:val="clear" w:color="auto" w:fill="auto"/>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您单位于     年   月   日向我机关提交本表及相关资料。现我机关予以接收，特此告知。</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 xml:space="preserve">                                                             税务机关(签章):</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 xml:space="preserve">                                                             受理日期: 年 月 日</w:t>
            </w:r>
          </w:p>
        </w:tc>
      </w:tr>
      <w:tr>
        <w:tblPrEx>
          <w:tblCellMar>
            <w:top w:w="0" w:type="dxa"/>
            <w:left w:w="108" w:type="dxa"/>
            <w:bottom w:w="0" w:type="dxa"/>
            <w:right w:w="108" w:type="dxa"/>
          </w:tblCellMar>
        </w:tblPrEx>
        <w:trPr>
          <w:trHeight w:val="2328" w:hRule="atLeast"/>
        </w:trPr>
        <w:tc>
          <w:tcPr>
            <w:tcW w:w="10024" w:type="dxa"/>
            <w:gridSpan w:val="4"/>
            <w:tcBorders>
              <w:top w:val="single" w:color="auto" w:sz="4" w:space="0"/>
              <w:bottom w:val="nil"/>
            </w:tcBorders>
            <w:shd w:val="clear" w:color="auto" w:fill="auto"/>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说明：</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1.“事项”栏由纳税人填写，请在事项前打“√”;纳税人应使用A4纸报送资料，按本表中“附报资料”所列顺序逐页编号并附目录装订。凡报送的资料属于复印件的，纳税人应加盖公章并注明“经核对与原件一致”。</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2.“受理情况”栏由办税服务厅填写。</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3.本表一式二份:一份由办税服务厅留存归档，一份纳税人留存。</w:t>
            </w:r>
          </w:p>
        </w:tc>
      </w:tr>
    </w:tbl>
    <w:p>
      <w:pPr>
        <w:jc w:val="left"/>
        <w:rPr>
          <w:rFonts w:ascii="Calibri" w:hAnsi="Calibri" w:eastAsia="仿宋_GB2312"/>
          <w:sz w:val="18"/>
          <w:szCs w:val="18"/>
        </w:rPr>
      </w:pPr>
    </w:p>
    <w:p>
      <w:pPr>
        <w:jc w:val="left"/>
        <w:rPr>
          <w:rFonts w:ascii="Calibri" w:hAnsi="Calibri" w:eastAsia="仿宋_GB2312"/>
          <w:sz w:val="18"/>
          <w:szCs w:val="18"/>
        </w:rPr>
      </w:pPr>
    </w:p>
    <w:p>
      <w:pPr>
        <w:jc w:val="left"/>
        <w:rPr>
          <w:rFonts w:ascii="Calibri" w:hAnsi="Calibri" w:eastAsia="仿宋_GB2312"/>
          <w:sz w:val="18"/>
          <w:szCs w:val="18"/>
        </w:rPr>
      </w:pPr>
    </w:p>
    <w:p>
      <w:pPr>
        <w:rPr>
          <w:rFonts w:ascii="Calibri" w:hAnsi="Calibri"/>
          <w:szCs w:val="28"/>
        </w:rPr>
      </w:pPr>
    </w:p>
    <w:p>
      <w:pPr>
        <w:rPr>
          <w:rFonts w:ascii="Calibri" w:hAnsi="Calibri" w:eastAsia="仿宋_GB2312"/>
          <w:sz w:val="28"/>
          <w:szCs w:val="28"/>
        </w:rPr>
      </w:pPr>
      <w:r>
        <w:rPr>
          <w:rFonts w:hint="eastAsia" w:ascii="Calibri" w:hAnsi="Calibri"/>
          <w:szCs w:val="28"/>
        </w:rPr>
        <w:drawing>
          <wp:inline distT="0" distB="0" distL="0" distR="0">
            <wp:extent cx="5372100" cy="70866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5372100" cy="7086600"/>
                    </a:xfrm>
                    <a:prstGeom prst="rect">
                      <a:avLst/>
                    </a:prstGeom>
                    <a:noFill/>
                    <a:ln>
                      <a:noFill/>
                    </a:ln>
                  </pic:spPr>
                </pic:pic>
              </a:graphicData>
            </a:graphic>
          </wp:inline>
        </w:drawing>
      </w:r>
    </w:p>
    <w:p>
      <w:pPr>
        <w:ind w:firstLine="560" w:firstLineChars="200"/>
        <w:rPr>
          <w:rFonts w:ascii="Calibri" w:hAnsi="Calibri" w:eastAsia="仿宋_GB2312"/>
          <w:sz w:val="28"/>
          <w:szCs w:val="28"/>
        </w:rPr>
      </w:pPr>
    </w:p>
    <w:p>
      <w:pPr>
        <w:ind w:firstLine="560" w:firstLineChars="200"/>
        <w:rPr>
          <w:rFonts w:ascii="Calibri" w:hAnsi="Calibri" w:eastAsia="仿宋_GB2312"/>
          <w:sz w:val="28"/>
          <w:szCs w:val="28"/>
        </w:rPr>
      </w:pPr>
    </w:p>
    <w:p>
      <w:pPr>
        <w:ind w:firstLine="560" w:firstLineChars="200"/>
        <w:rPr>
          <w:rFonts w:ascii="Calibri" w:hAnsi="Calibri" w:eastAsia="仿宋_GB2312"/>
          <w:sz w:val="28"/>
          <w:szCs w:val="28"/>
        </w:rPr>
      </w:pPr>
    </w:p>
    <w:p>
      <w:pPr>
        <w:ind w:firstLine="560" w:firstLineChars="200"/>
        <w:rPr>
          <w:rFonts w:ascii="Calibri" w:hAnsi="Calibri" w:eastAsia="仿宋_GB2312"/>
          <w:sz w:val="28"/>
          <w:szCs w:val="28"/>
        </w:rPr>
      </w:pPr>
    </w:p>
    <w:p>
      <w:pPr>
        <w:ind w:firstLine="420" w:firstLineChars="200"/>
        <w:rPr>
          <w:rFonts w:ascii="Calibri" w:hAnsi="Calibri"/>
          <w:szCs w:val="28"/>
        </w:rPr>
      </w:pPr>
      <w:r>
        <w:rPr>
          <w:rFonts w:ascii="Calibri" w:hAnsi="Calibri"/>
          <w:szCs w:val="28"/>
        </w:rPr>
        <w:drawing>
          <wp:inline distT="0" distB="0" distL="0" distR="0">
            <wp:extent cx="5267325" cy="7038975"/>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267325" cy="7038975"/>
                    </a:xfrm>
                    <a:prstGeom prst="rect">
                      <a:avLst/>
                    </a:prstGeom>
                    <a:noFill/>
                    <a:ln>
                      <a:noFill/>
                    </a:ln>
                  </pic:spPr>
                </pic:pic>
              </a:graphicData>
            </a:graphic>
          </wp:inline>
        </w:drawing>
      </w:r>
    </w:p>
    <w:p>
      <w:pPr>
        <w:ind w:firstLine="420" w:firstLineChars="200"/>
        <w:rPr>
          <w:rFonts w:ascii="Calibri" w:hAnsi="Calibri"/>
          <w:szCs w:val="28"/>
        </w:rPr>
      </w:pPr>
    </w:p>
    <w:p>
      <w:pPr>
        <w:ind w:firstLine="420" w:firstLineChars="200"/>
        <w:rPr>
          <w:rFonts w:ascii="Calibri" w:hAnsi="Calibri"/>
          <w:szCs w:val="28"/>
        </w:rPr>
      </w:pPr>
    </w:p>
    <w:p>
      <w:pPr>
        <w:ind w:firstLine="420" w:firstLineChars="200"/>
        <w:rPr>
          <w:rFonts w:ascii="Calibri" w:hAnsi="Calibri"/>
          <w:szCs w:val="28"/>
        </w:rPr>
      </w:pPr>
    </w:p>
    <w:p>
      <w:pPr>
        <w:ind w:firstLine="420" w:firstLineChars="200"/>
        <w:rPr>
          <w:rFonts w:ascii="Calibri" w:hAnsi="Calibri"/>
          <w:szCs w:val="28"/>
        </w:rPr>
      </w:pPr>
    </w:p>
    <w:p>
      <w:pPr>
        <w:ind w:firstLine="420" w:firstLineChars="200"/>
        <w:rPr>
          <w:rFonts w:ascii="Calibri" w:hAnsi="Calibri"/>
          <w:szCs w:val="28"/>
        </w:rPr>
      </w:pPr>
    </w:p>
    <w:p>
      <w:pPr>
        <w:ind w:firstLine="420" w:firstLineChars="200"/>
        <w:rPr>
          <w:rFonts w:ascii="Calibri" w:hAnsi="Calibri"/>
          <w:szCs w:val="28"/>
        </w:rPr>
      </w:pPr>
    </w:p>
    <w:p>
      <w:pPr>
        <w:ind w:firstLine="420" w:firstLineChars="200"/>
        <w:rPr>
          <w:rFonts w:ascii="Calibri" w:hAnsi="Calibri"/>
          <w:szCs w:val="28"/>
        </w:rPr>
      </w:pPr>
    </w:p>
    <w:p>
      <w:pPr>
        <w:ind w:firstLine="420" w:firstLineChars="200"/>
        <w:rPr>
          <w:rFonts w:ascii="Calibri" w:hAnsi="Calibri"/>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0024D6"/>
    <w:multiLevelType w:val="multilevel"/>
    <w:tmpl w:val="210024D6"/>
    <w:lvl w:ilvl="0" w:tentative="0">
      <w:start w:val="2"/>
      <w:numFmt w:val="bullet"/>
      <w:lvlText w:val="□"/>
      <w:lvlJc w:val="left"/>
      <w:pPr>
        <w:ind w:left="360" w:hanging="360"/>
      </w:pPr>
      <w:rPr>
        <w:rFonts w:hint="eastAsia" w:ascii="宋体" w:hAnsi="宋体" w:eastAsia="宋体" w:cs="宋体"/>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251EF"/>
    <w:rsid w:val="00023A84"/>
    <w:rsid w:val="000A4A8E"/>
    <w:rsid w:val="004251EF"/>
    <w:rsid w:val="008515B1"/>
    <w:rsid w:val="00DA5CCA"/>
    <w:rsid w:val="00F11666"/>
    <w:rsid w:val="2E092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uiPriority w:val="99"/>
    <w:rPr>
      <w:sz w:val="18"/>
      <w:szCs w:val="18"/>
    </w:rPr>
  </w:style>
  <w:style w:type="paragraph" w:styleId="9">
    <w:name w:val="List Paragraph"/>
    <w:basedOn w:val="1"/>
    <w:qFormat/>
    <w:uiPriority w:val="34"/>
    <w:pPr>
      <w:ind w:firstLine="420" w:firstLineChars="200"/>
    </w:pPr>
    <w:rPr>
      <w:rFonts w:ascii="Calibri" w:hAnsi="Calibri" w:eastAsia="宋体" w:cs="Times New Roman"/>
    </w:rPr>
  </w:style>
  <w:style w:type="character" w:customStyle="1" w:styleId="10">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emf"/><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262</Words>
  <Characters>1495</Characters>
  <Lines>12</Lines>
  <Paragraphs>3</Paragraphs>
  <TotalTime>53</TotalTime>
  <ScaleCrop>false</ScaleCrop>
  <LinksUpToDate>false</LinksUpToDate>
  <CharactersWithSpaces>1754</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2018-04-02T07:53:00Z</dcterms:created>
  <dc:creator> </dc:creator>
  <cp:lastModifiedBy>王允希</cp:lastModifiedBy>
  <dcterms:modified xsi:type="dcterms:W3CDTF">2022-04-12T07:12:55Z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