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4757" w:type="dxa"/>
        <w:tblInd w:w="93" w:type="dxa"/>
        <w:tblLayout w:type="autofit"/>
        <w:tblCellMar>
          <w:top w:w="0" w:type="dxa"/>
          <w:left w:w="108" w:type="dxa"/>
          <w:bottom w:w="0" w:type="dxa"/>
          <w:right w:w="108" w:type="dxa"/>
        </w:tblCellMar>
      </w:tblPr>
      <w:tblGrid>
        <w:gridCol w:w="660"/>
        <w:gridCol w:w="640"/>
        <w:gridCol w:w="558"/>
        <w:gridCol w:w="12899"/>
      </w:tblGrid>
      <w:tr>
        <w:tblPrEx>
          <w:tblCellMar>
            <w:top w:w="0" w:type="dxa"/>
            <w:left w:w="108" w:type="dxa"/>
            <w:bottom w:w="0" w:type="dxa"/>
            <w:right w:w="108" w:type="dxa"/>
          </w:tblCellMar>
        </w:tblPrEx>
        <w:trPr>
          <w:trHeight w:val="345" w:hRule="atLeast"/>
        </w:trPr>
        <w:tc>
          <w:tcPr>
            <w:tcW w:w="1300" w:type="dxa"/>
            <w:gridSpan w:val="2"/>
            <w:tcBorders>
              <w:top w:val="nil"/>
              <w:left w:val="nil"/>
              <w:bottom w:val="nil"/>
              <w:right w:val="nil"/>
            </w:tcBorders>
            <w:shd w:val="clear" w:color="auto" w:fill="auto"/>
            <w:noWrap/>
            <w:vAlign w:val="bottom"/>
          </w:tcPr>
          <w:p>
            <w:pPr>
              <w:widowControl/>
              <w:jc w:val="left"/>
              <w:rPr>
                <w:rFonts w:ascii="黑体" w:hAnsi="宋体" w:eastAsia="黑体" w:cs="宋体"/>
                <w:kern w:val="0"/>
                <w:sz w:val="24"/>
                <w:szCs w:val="24"/>
              </w:rPr>
            </w:pPr>
            <w:r>
              <w:rPr>
                <w:rFonts w:hint="eastAsia" w:ascii="黑体" w:hAnsi="宋体" w:eastAsia="黑体" w:cs="宋体"/>
                <w:kern w:val="0"/>
                <w:sz w:val="24"/>
                <w:szCs w:val="24"/>
              </w:rPr>
              <w:t>附件</w:t>
            </w:r>
            <w:r>
              <w:rPr>
                <w:rFonts w:hint="eastAsia" w:ascii="黑体" w:hAnsi="宋体" w:eastAsia="黑体" w:cs="宋体"/>
                <w:kern w:val="0"/>
                <w:sz w:val="24"/>
                <w:szCs w:val="24"/>
                <w:lang w:eastAsia="zh-CN"/>
              </w:rPr>
              <w:t>三</w:t>
            </w:r>
            <w:bookmarkStart w:id="0" w:name="_GoBack"/>
            <w:bookmarkEnd w:id="0"/>
            <w:r>
              <w:rPr>
                <w:rFonts w:hint="eastAsia" w:ascii="黑体" w:hAnsi="宋体" w:eastAsia="黑体" w:cs="宋体"/>
                <w:kern w:val="0"/>
                <w:sz w:val="24"/>
                <w:szCs w:val="24"/>
              </w:rPr>
              <w:t>（2）</w:t>
            </w:r>
          </w:p>
        </w:tc>
        <w:tc>
          <w:tcPr>
            <w:tcW w:w="13457" w:type="dxa"/>
            <w:gridSpan w:val="2"/>
            <w:tcBorders>
              <w:top w:val="nil"/>
              <w:left w:val="nil"/>
              <w:bottom w:val="nil"/>
              <w:right w:val="nil"/>
            </w:tcBorders>
            <w:shd w:val="clear" w:color="auto" w:fill="auto"/>
            <w:noWrap/>
            <w:vAlign w:val="bottom"/>
          </w:tcPr>
          <w:p>
            <w:pPr>
              <w:widowControl/>
              <w:spacing w:line="280" w:lineRule="exact"/>
              <w:jc w:val="left"/>
              <w:rPr>
                <w:rFonts w:ascii="黑体" w:hAnsi="宋体" w:eastAsia="黑体" w:cs="宋体"/>
                <w:kern w:val="0"/>
                <w:sz w:val="32"/>
                <w:szCs w:val="32"/>
              </w:rPr>
            </w:pPr>
          </w:p>
        </w:tc>
      </w:tr>
      <w:tr>
        <w:tblPrEx>
          <w:tblCellMar>
            <w:top w:w="0" w:type="dxa"/>
            <w:left w:w="108" w:type="dxa"/>
            <w:bottom w:w="0" w:type="dxa"/>
            <w:right w:w="108" w:type="dxa"/>
          </w:tblCellMar>
        </w:tblPrEx>
        <w:trPr>
          <w:trHeight w:val="450" w:hRule="atLeast"/>
        </w:trPr>
        <w:tc>
          <w:tcPr>
            <w:tcW w:w="14757" w:type="dxa"/>
            <w:gridSpan w:val="4"/>
            <w:tcBorders>
              <w:top w:val="nil"/>
              <w:left w:val="nil"/>
              <w:bottom w:val="single" w:color="auto" w:sz="4" w:space="0"/>
              <w:right w:val="nil"/>
            </w:tcBorders>
            <w:shd w:val="clear" w:color="auto" w:fill="auto"/>
            <w:noWrap/>
            <w:vAlign w:val="bottom"/>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企业重组所得税特殊性税务处理申报资料一览表</w:t>
            </w:r>
          </w:p>
        </w:tc>
      </w:tr>
      <w:tr>
        <w:tblPrEx>
          <w:tblCellMar>
            <w:top w:w="0" w:type="dxa"/>
            <w:left w:w="108" w:type="dxa"/>
            <w:bottom w:w="0" w:type="dxa"/>
            <w:right w:w="108" w:type="dxa"/>
          </w:tblCellMar>
        </w:tblPrEx>
        <w:trPr>
          <w:trHeight w:val="810" w:hRule="atLeast"/>
        </w:trPr>
        <w:tc>
          <w:tcPr>
            <w:tcW w:w="66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仿宋_GB2312" w:hAnsi="宋体" w:eastAsia="仿宋_GB2312" w:cs="宋体"/>
                <w:b/>
                <w:bCs/>
                <w:kern w:val="0"/>
                <w:sz w:val="24"/>
              </w:rPr>
            </w:pPr>
            <w:r>
              <w:rPr>
                <w:rFonts w:hint="eastAsia" w:ascii="仿宋_GB2312" w:hAnsi="宋体" w:eastAsia="仿宋_GB2312" w:cs="宋体"/>
                <w:b/>
                <w:bCs/>
                <w:kern w:val="0"/>
                <w:sz w:val="24"/>
              </w:rPr>
              <w:t>重组类型</w:t>
            </w:r>
          </w:p>
        </w:tc>
        <w:tc>
          <w:tcPr>
            <w:tcW w:w="1198"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仿宋_GB2312" w:hAnsi="宋体" w:eastAsia="仿宋_GB2312" w:cs="宋体"/>
                <w:b/>
                <w:bCs/>
                <w:kern w:val="0"/>
                <w:sz w:val="24"/>
              </w:rPr>
            </w:pPr>
            <w:r>
              <w:rPr>
                <w:rFonts w:hint="eastAsia" w:ascii="仿宋_GB2312" w:hAnsi="宋体" w:eastAsia="仿宋_GB2312" w:cs="宋体"/>
                <w:b/>
                <w:bCs/>
                <w:kern w:val="0"/>
                <w:sz w:val="24"/>
              </w:rPr>
              <w:t>资料提供方</w:t>
            </w:r>
          </w:p>
        </w:tc>
        <w:tc>
          <w:tcPr>
            <w:tcW w:w="1289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仿宋_GB2312" w:hAnsi="宋体" w:eastAsia="仿宋_GB2312" w:cs="宋体"/>
                <w:b/>
                <w:bCs/>
                <w:kern w:val="0"/>
                <w:sz w:val="24"/>
              </w:rPr>
            </w:pPr>
            <w:r>
              <w:rPr>
                <w:rFonts w:hint="eastAsia" w:ascii="仿宋_GB2312" w:hAnsi="宋体" w:eastAsia="仿宋_GB2312" w:cs="宋体"/>
                <w:b/>
                <w:bCs/>
                <w:kern w:val="0"/>
                <w:sz w:val="24"/>
              </w:rPr>
              <w:t>申报资料</w:t>
            </w:r>
          </w:p>
        </w:tc>
      </w:tr>
      <w:tr>
        <w:tblPrEx>
          <w:tblCellMar>
            <w:top w:w="0" w:type="dxa"/>
            <w:left w:w="108" w:type="dxa"/>
            <w:bottom w:w="0" w:type="dxa"/>
            <w:right w:w="108" w:type="dxa"/>
          </w:tblCellMar>
        </w:tblPrEx>
        <w:trPr>
          <w:trHeight w:val="720" w:hRule="atLeast"/>
        </w:trPr>
        <w:tc>
          <w:tcPr>
            <w:tcW w:w="66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仿宋_GB2312" w:hAnsi="宋体" w:eastAsia="仿宋_GB2312" w:cs="宋体"/>
                <w:kern w:val="0"/>
                <w:sz w:val="24"/>
              </w:rPr>
            </w:pPr>
            <w:r>
              <w:rPr>
                <w:rFonts w:hint="eastAsia" w:ascii="仿宋_GB2312" w:hAnsi="宋体" w:eastAsia="仿宋_GB2312" w:cs="宋体"/>
                <w:kern w:val="0"/>
                <w:sz w:val="24"/>
              </w:rPr>
              <w:t>债务重组</w:t>
            </w:r>
          </w:p>
        </w:tc>
        <w:tc>
          <w:tcPr>
            <w:tcW w:w="1198" w:type="dxa"/>
            <w:gridSpan w:val="2"/>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仿宋_GB2312" w:hAnsi="宋体" w:eastAsia="仿宋_GB2312" w:cs="宋体"/>
                <w:kern w:val="0"/>
                <w:sz w:val="24"/>
              </w:rPr>
            </w:pPr>
            <w:r>
              <w:rPr>
                <w:rFonts w:hint="eastAsia" w:ascii="仿宋_GB2312" w:hAnsi="宋体" w:eastAsia="仿宋_GB2312" w:cs="宋体"/>
                <w:kern w:val="0"/>
                <w:sz w:val="24"/>
              </w:rPr>
              <w:t>当事各方</w:t>
            </w:r>
          </w:p>
        </w:tc>
        <w:tc>
          <w:tcPr>
            <w:tcW w:w="12899"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仿宋_GB2312" w:hAnsi="宋体" w:eastAsia="仿宋_GB2312" w:cs="宋体"/>
                <w:kern w:val="0"/>
                <w:sz w:val="24"/>
              </w:rPr>
            </w:pPr>
            <w:r>
              <w:rPr>
                <w:rFonts w:hint="eastAsia" w:ascii="仿宋_GB2312" w:hAnsi="宋体" w:eastAsia="仿宋_GB2312" w:cs="宋体"/>
                <w:kern w:val="0"/>
                <w:sz w:val="24"/>
              </w:rPr>
              <w:t>1.债务重组的总体情况说明，包括债务重组方案、基本情况、债务重组所产生的应纳税所得额，并逐条说明债务重组的商业目的；以非货币资产清偿债务的，还应包括企业当年应纳税所得额情况；</w:t>
            </w:r>
          </w:p>
        </w:tc>
      </w:tr>
      <w:tr>
        <w:tblPrEx>
          <w:tblCellMar>
            <w:top w:w="0" w:type="dxa"/>
            <w:left w:w="108" w:type="dxa"/>
            <w:bottom w:w="0" w:type="dxa"/>
            <w:right w:w="108" w:type="dxa"/>
          </w:tblCellMar>
        </w:tblPrEx>
        <w:trPr>
          <w:trHeight w:val="390" w:hRule="atLeast"/>
        </w:trPr>
        <w:tc>
          <w:tcPr>
            <w:tcW w:w="66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仿宋_GB2312" w:hAnsi="宋体" w:eastAsia="仿宋_GB2312" w:cs="宋体"/>
                <w:kern w:val="0"/>
                <w:sz w:val="24"/>
              </w:rPr>
            </w:pPr>
          </w:p>
        </w:tc>
        <w:tc>
          <w:tcPr>
            <w:tcW w:w="1198" w:type="dxa"/>
            <w:gridSpan w:val="2"/>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仿宋_GB2312" w:hAnsi="宋体" w:eastAsia="仿宋_GB2312" w:cs="宋体"/>
                <w:kern w:val="0"/>
                <w:sz w:val="24"/>
              </w:rPr>
            </w:pPr>
          </w:p>
        </w:tc>
        <w:tc>
          <w:tcPr>
            <w:tcW w:w="12899"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仿宋_GB2312" w:hAnsi="宋体" w:eastAsia="仿宋_GB2312" w:cs="宋体"/>
                <w:kern w:val="0"/>
                <w:sz w:val="24"/>
              </w:rPr>
            </w:pPr>
            <w:r>
              <w:rPr>
                <w:rFonts w:hint="eastAsia" w:ascii="仿宋_GB2312" w:hAnsi="宋体" w:eastAsia="仿宋_GB2312" w:cs="宋体"/>
                <w:kern w:val="0"/>
                <w:sz w:val="24"/>
              </w:rPr>
              <w:t>2.清偿债务或债权转股权的合同（协议）或法院裁定书，需有权部门（包括内部和外部）批准的，应提供批准文件；</w:t>
            </w:r>
          </w:p>
        </w:tc>
      </w:tr>
      <w:tr>
        <w:tblPrEx>
          <w:tblCellMar>
            <w:top w:w="0" w:type="dxa"/>
            <w:left w:w="108" w:type="dxa"/>
            <w:bottom w:w="0" w:type="dxa"/>
            <w:right w:w="108" w:type="dxa"/>
          </w:tblCellMar>
        </w:tblPrEx>
        <w:trPr>
          <w:trHeight w:val="705" w:hRule="atLeast"/>
        </w:trPr>
        <w:tc>
          <w:tcPr>
            <w:tcW w:w="66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仿宋_GB2312" w:hAnsi="宋体" w:eastAsia="仿宋_GB2312" w:cs="宋体"/>
                <w:kern w:val="0"/>
                <w:sz w:val="24"/>
              </w:rPr>
            </w:pPr>
          </w:p>
        </w:tc>
        <w:tc>
          <w:tcPr>
            <w:tcW w:w="1198" w:type="dxa"/>
            <w:gridSpan w:val="2"/>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仿宋_GB2312" w:hAnsi="宋体" w:eastAsia="仿宋_GB2312" w:cs="宋体"/>
                <w:kern w:val="0"/>
                <w:sz w:val="24"/>
              </w:rPr>
            </w:pPr>
          </w:p>
        </w:tc>
        <w:tc>
          <w:tcPr>
            <w:tcW w:w="12899"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仿宋_GB2312" w:hAnsi="宋体" w:eastAsia="仿宋_GB2312" w:cs="宋体"/>
                <w:kern w:val="0"/>
                <w:sz w:val="24"/>
              </w:rPr>
            </w:pPr>
            <w:r>
              <w:rPr>
                <w:rFonts w:hint="eastAsia" w:ascii="仿宋_GB2312" w:hAnsi="宋体" w:eastAsia="仿宋_GB2312" w:cs="宋体"/>
                <w:kern w:val="0"/>
                <w:sz w:val="24"/>
              </w:rPr>
              <w:t>3.债权转股权的，提供相关股权评估报告或其他公允价值证明；以非货币资产清偿债务的，提供相关资产评估报告或其他公允价值证明；</w:t>
            </w:r>
          </w:p>
        </w:tc>
      </w:tr>
      <w:tr>
        <w:tblPrEx>
          <w:tblCellMar>
            <w:top w:w="0" w:type="dxa"/>
            <w:left w:w="108" w:type="dxa"/>
            <w:bottom w:w="0" w:type="dxa"/>
            <w:right w:w="108" w:type="dxa"/>
          </w:tblCellMar>
        </w:tblPrEx>
        <w:trPr>
          <w:trHeight w:val="465" w:hRule="atLeast"/>
        </w:trPr>
        <w:tc>
          <w:tcPr>
            <w:tcW w:w="66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仿宋_GB2312" w:hAnsi="宋体" w:eastAsia="仿宋_GB2312" w:cs="宋体"/>
                <w:kern w:val="0"/>
                <w:sz w:val="24"/>
              </w:rPr>
            </w:pPr>
          </w:p>
        </w:tc>
        <w:tc>
          <w:tcPr>
            <w:tcW w:w="1198" w:type="dxa"/>
            <w:gridSpan w:val="2"/>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仿宋_GB2312" w:hAnsi="宋体" w:eastAsia="仿宋_GB2312" w:cs="宋体"/>
                <w:kern w:val="0"/>
                <w:sz w:val="24"/>
              </w:rPr>
            </w:pPr>
          </w:p>
        </w:tc>
        <w:tc>
          <w:tcPr>
            <w:tcW w:w="12899"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仿宋_GB2312" w:hAnsi="宋体" w:eastAsia="仿宋_GB2312" w:cs="宋体"/>
                <w:kern w:val="0"/>
                <w:sz w:val="24"/>
              </w:rPr>
            </w:pPr>
            <w:r>
              <w:rPr>
                <w:rFonts w:hint="eastAsia" w:ascii="仿宋_GB2312" w:hAnsi="宋体" w:eastAsia="仿宋_GB2312" w:cs="宋体"/>
                <w:kern w:val="0"/>
                <w:sz w:val="24"/>
              </w:rPr>
              <w:t>4.重组当事各方一致选择特殊性税务处理并加盖当事各方公章的证明资料；</w:t>
            </w:r>
          </w:p>
        </w:tc>
      </w:tr>
      <w:tr>
        <w:tblPrEx>
          <w:tblCellMar>
            <w:top w:w="0" w:type="dxa"/>
            <w:left w:w="108" w:type="dxa"/>
            <w:bottom w:w="0" w:type="dxa"/>
            <w:right w:w="108" w:type="dxa"/>
          </w:tblCellMar>
        </w:tblPrEx>
        <w:trPr>
          <w:trHeight w:val="660" w:hRule="atLeast"/>
        </w:trPr>
        <w:tc>
          <w:tcPr>
            <w:tcW w:w="66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仿宋_GB2312" w:hAnsi="宋体" w:eastAsia="仿宋_GB2312" w:cs="宋体"/>
                <w:kern w:val="0"/>
                <w:sz w:val="24"/>
              </w:rPr>
            </w:pPr>
          </w:p>
        </w:tc>
        <w:tc>
          <w:tcPr>
            <w:tcW w:w="1198" w:type="dxa"/>
            <w:gridSpan w:val="2"/>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仿宋_GB2312" w:hAnsi="宋体" w:eastAsia="仿宋_GB2312" w:cs="宋体"/>
                <w:kern w:val="0"/>
                <w:sz w:val="24"/>
              </w:rPr>
            </w:pPr>
          </w:p>
        </w:tc>
        <w:tc>
          <w:tcPr>
            <w:tcW w:w="12899"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仿宋_GB2312" w:hAnsi="宋体" w:eastAsia="仿宋_GB2312" w:cs="宋体"/>
                <w:kern w:val="0"/>
                <w:sz w:val="24"/>
              </w:rPr>
            </w:pPr>
            <w:r>
              <w:rPr>
                <w:rFonts w:hint="eastAsia" w:ascii="仿宋_GB2312" w:hAnsi="宋体" w:eastAsia="仿宋_GB2312" w:cs="宋体"/>
                <w:kern w:val="0"/>
                <w:sz w:val="24"/>
              </w:rPr>
              <w:t>5.债权转股权的，还应提供工商管理部门等有权机关登记的相关企业股权变更事项的证明材料，以及债权人12个月内不转让所取得股权的承诺书；</w:t>
            </w:r>
          </w:p>
        </w:tc>
      </w:tr>
      <w:tr>
        <w:tblPrEx>
          <w:tblCellMar>
            <w:top w:w="0" w:type="dxa"/>
            <w:left w:w="108" w:type="dxa"/>
            <w:bottom w:w="0" w:type="dxa"/>
            <w:right w:w="108" w:type="dxa"/>
          </w:tblCellMar>
        </w:tblPrEx>
        <w:trPr>
          <w:trHeight w:val="630" w:hRule="atLeast"/>
        </w:trPr>
        <w:tc>
          <w:tcPr>
            <w:tcW w:w="66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仿宋_GB2312" w:hAnsi="宋体" w:eastAsia="仿宋_GB2312" w:cs="宋体"/>
                <w:kern w:val="0"/>
                <w:sz w:val="24"/>
              </w:rPr>
            </w:pPr>
          </w:p>
        </w:tc>
        <w:tc>
          <w:tcPr>
            <w:tcW w:w="1198" w:type="dxa"/>
            <w:gridSpan w:val="2"/>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仿宋_GB2312" w:hAnsi="宋体" w:eastAsia="仿宋_GB2312" w:cs="宋体"/>
                <w:kern w:val="0"/>
                <w:sz w:val="24"/>
              </w:rPr>
            </w:pPr>
          </w:p>
        </w:tc>
        <w:tc>
          <w:tcPr>
            <w:tcW w:w="12899"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仿宋_GB2312" w:hAnsi="宋体" w:eastAsia="仿宋_GB2312" w:cs="宋体"/>
                <w:kern w:val="0"/>
                <w:sz w:val="24"/>
              </w:rPr>
            </w:pPr>
            <w:r>
              <w:rPr>
                <w:rFonts w:hint="eastAsia" w:ascii="仿宋_GB2312" w:hAnsi="宋体" w:eastAsia="仿宋_GB2312" w:cs="宋体"/>
                <w:kern w:val="0"/>
                <w:sz w:val="24"/>
              </w:rPr>
              <w:t>6.重组前连续12个月内有无与该重组相关的其他股权、资产交易,与该重组是否构成分步交易、是否作为一项企业重组业务进行处理情况的说明；</w:t>
            </w:r>
          </w:p>
        </w:tc>
      </w:tr>
      <w:tr>
        <w:tblPrEx>
          <w:tblCellMar>
            <w:top w:w="0" w:type="dxa"/>
            <w:left w:w="108" w:type="dxa"/>
            <w:bottom w:w="0" w:type="dxa"/>
            <w:right w:w="108" w:type="dxa"/>
          </w:tblCellMar>
        </w:tblPrEx>
        <w:trPr>
          <w:trHeight w:val="645" w:hRule="atLeast"/>
        </w:trPr>
        <w:tc>
          <w:tcPr>
            <w:tcW w:w="66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仿宋_GB2312" w:hAnsi="宋体" w:eastAsia="仿宋_GB2312" w:cs="宋体"/>
                <w:kern w:val="0"/>
                <w:sz w:val="24"/>
              </w:rPr>
            </w:pPr>
          </w:p>
        </w:tc>
        <w:tc>
          <w:tcPr>
            <w:tcW w:w="1198" w:type="dxa"/>
            <w:gridSpan w:val="2"/>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仿宋_GB2312" w:hAnsi="宋体" w:eastAsia="仿宋_GB2312" w:cs="宋体"/>
                <w:kern w:val="0"/>
                <w:sz w:val="24"/>
              </w:rPr>
            </w:pPr>
          </w:p>
        </w:tc>
        <w:tc>
          <w:tcPr>
            <w:tcW w:w="12899"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仿宋_GB2312" w:hAnsi="宋体" w:eastAsia="仿宋_GB2312" w:cs="宋体"/>
                <w:kern w:val="0"/>
                <w:sz w:val="24"/>
              </w:rPr>
            </w:pPr>
            <w:r>
              <w:rPr>
                <w:rFonts w:hint="eastAsia" w:ascii="仿宋_GB2312" w:hAnsi="宋体" w:eastAsia="仿宋_GB2312" w:cs="宋体"/>
                <w:kern w:val="0"/>
                <w:sz w:val="24"/>
              </w:rPr>
              <w:t>7.按会计准则规定当期应确认资产（股权）转让损益的，应提供按税法规定核算的资产（股权）计税基础与按会计准则规定核算的相关资产（股权）账面价值的暂时性差异专项说明。</w:t>
            </w:r>
          </w:p>
        </w:tc>
      </w:tr>
      <w:tr>
        <w:tblPrEx>
          <w:tblCellMar>
            <w:top w:w="0" w:type="dxa"/>
            <w:left w:w="108" w:type="dxa"/>
            <w:bottom w:w="0" w:type="dxa"/>
            <w:right w:w="108" w:type="dxa"/>
          </w:tblCellMar>
        </w:tblPrEx>
        <w:trPr>
          <w:trHeight w:val="402" w:hRule="atLeast"/>
        </w:trPr>
        <w:tc>
          <w:tcPr>
            <w:tcW w:w="66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仿宋_GB2312" w:hAnsi="宋体" w:eastAsia="仿宋_GB2312" w:cs="宋体"/>
                <w:kern w:val="0"/>
                <w:sz w:val="24"/>
              </w:rPr>
            </w:pPr>
            <w:r>
              <w:rPr>
                <w:rFonts w:hint="eastAsia" w:ascii="仿宋_GB2312" w:hAnsi="宋体" w:eastAsia="仿宋_GB2312" w:cs="宋体"/>
                <w:kern w:val="0"/>
                <w:sz w:val="24"/>
              </w:rPr>
              <w:t>股权收购</w:t>
            </w:r>
          </w:p>
        </w:tc>
        <w:tc>
          <w:tcPr>
            <w:tcW w:w="1198" w:type="dxa"/>
            <w:gridSpan w:val="2"/>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仿宋_GB2312" w:hAnsi="宋体" w:eastAsia="仿宋_GB2312" w:cs="宋体"/>
                <w:kern w:val="0"/>
                <w:sz w:val="24"/>
              </w:rPr>
            </w:pPr>
            <w:r>
              <w:rPr>
                <w:rFonts w:hint="eastAsia" w:ascii="仿宋_GB2312" w:hAnsi="宋体" w:eastAsia="仿宋_GB2312" w:cs="宋体"/>
                <w:kern w:val="0"/>
                <w:sz w:val="24"/>
              </w:rPr>
              <w:t>当事各方</w:t>
            </w:r>
          </w:p>
        </w:tc>
        <w:tc>
          <w:tcPr>
            <w:tcW w:w="12899"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仿宋_GB2312" w:hAnsi="宋体" w:eastAsia="仿宋_GB2312" w:cs="宋体"/>
                <w:kern w:val="0"/>
                <w:sz w:val="24"/>
              </w:rPr>
            </w:pPr>
            <w:r>
              <w:rPr>
                <w:rFonts w:hint="eastAsia" w:ascii="仿宋_GB2312" w:hAnsi="宋体" w:eastAsia="仿宋_GB2312" w:cs="宋体"/>
                <w:kern w:val="0"/>
                <w:sz w:val="24"/>
              </w:rPr>
              <w:t>1.股权收购业务总体情况说明，包括股权收购方案、基本情况，并逐条说明股权收购的商业目的；</w:t>
            </w:r>
          </w:p>
        </w:tc>
      </w:tr>
      <w:tr>
        <w:tblPrEx>
          <w:tblCellMar>
            <w:top w:w="0" w:type="dxa"/>
            <w:left w:w="108" w:type="dxa"/>
            <w:bottom w:w="0" w:type="dxa"/>
            <w:right w:w="108" w:type="dxa"/>
          </w:tblCellMar>
        </w:tblPrEx>
        <w:trPr>
          <w:trHeight w:val="402" w:hRule="atLeast"/>
        </w:trPr>
        <w:tc>
          <w:tcPr>
            <w:tcW w:w="66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仿宋_GB2312" w:hAnsi="宋体" w:eastAsia="仿宋_GB2312" w:cs="宋体"/>
                <w:kern w:val="0"/>
                <w:sz w:val="24"/>
              </w:rPr>
            </w:pPr>
          </w:p>
        </w:tc>
        <w:tc>
          <w:tcPr>
            <w:tcW w:w="1198" w:type="dxa"/>
            <w:gridSpan w:val="2"/>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仿宋_GB2312" w:hAnsi="宋体" w:eastAsia="仿宋_GB2312" w:cs="宋体"/>
                <w:kern w:val="0"/>
                <w:sz w:val="24"/>
              </w:rPr>
            </w:pPr>
          </w:p>
        </w:tc>
        <w:tc>
          <w:tcPr>
            <w:tcW w:w="12899"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仿宋_GB2312" w:hAnsi="宋体" w:eastAsia="仿宋_GB2312" w:cs="宋体"/>
                <w:kern w:val="0"/>
                <w:sz w:val="24"/>
              </w:rPr>
            </w:pPr>
            <w:r>
              <w:rPr>
                <w:rFonts w:hint="eastAsia" w:ascii="仿宋_GB2312" w:hAnsi="宋体" w:eastAsia="仿宋_GB2312" w:cs="宋体"/>
                <w:kern w:val="0"/>
                <w:sz w:val="24"/>
              </w:rPr>
              <w:t>2.股权收购、资产收购业务合同(协议)，需有权部门（包括内部和外部）批准的，应提供批准文件；</w:t>
            </w:r>
          </w:p>
        </w:tc>
      </w:tr>
      <w:tr>
        <w:tblPrEx>
          <w:tblCellMar>
            <w:top w:w="0" w:type="dxa"/>
            <w:left w:w="108" w:type="dxa"/>
            <w:bottom w:w="0" w:type="dxa"/>
            <w:right w:w="108" w:type="dxa"/>
          </w:tblCellMar>
        </w:tblPrEx>
        <w:trPr>
          <w:trHeight w:val="390" w:hRule="atLeast"/>
        </w:trPr>
        <w:tc>
          <w:tcPr>
            <w:tcW w:w="66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仿宋_GB2312" w:hAnsi="宋体" w:eastAsia="仿宋_GB2312" w:cs="宋体"/>
                <w:kern w:val="0"/>
                <w:sz w:val="24"/>
              </w:rPr>
            </w:pPr>
          </w:p>
        </w:tc>
        <w:tc>
          <w:tcPr>
            <w:tcW w:w="1198" w:type="dxa"/>
            <w:gridSpan w:val="2"/>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仿宋_GB2312" w:hAnsi="宋体" w:eastAsia="仿宋_GB2312" w:cs="宋体"/>
                <w:kern w:val="0"/>
                <w:sz w:val="24"/>
              </w:rPr>
            </w:pPr>
          </w:p>
        </w:tc>
        <w:tc>
          <w:tcPr>
            <w:tcW w:w="12899"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仿宋_GB2312" w:hAnsi="宋体" w:eastAsia="仿宋_GB2312" w:cs="宋体"/>
                <w:kern w:val="0"/>
                <w:sz w:val="24"/>
              </w:rPr>
            </w:pPr>
            <w:r>
              <w:rPr>
                <w:rFonts w:hint="eastAsia" w:ascii="仿宋_GB2312" w:hAnsi="宋体" w:eastAsia="仿宋_GB2312" w:cs="宋体"/>
                <w:kern w:val="0"/>
                <w:sz w:val="24"/>
              </w:rPr>
              <w:t>3.相关股权评估报告或其他公允价值证明；</w:t>
            </w:r>
          </w:p>
        </w:tc>
      </w:tr>
      <w:tr>
        <w:tblPrEx>
          <w:tblCellMar>
            <w:top w:w="0" w:type="dxa"/>
            <w:left w:w="108" w:type="dxa"/>
            <w:bottom w:w="0" w:type="dxa"/>
            <w:right w:w="108" w:type="dxa"/>
          </w:tblCellMar>
        </w:tblPrEx>
        <w:trPr>
          <w:trHeight w:val="402" w:hRule="atLeast"/>
        </w:trPr>
        <w:tc>
          <w:tcPr>
            <w:tcW w:w="66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仿宋_GB2312" w:hAnsi="宋体" w:eastAsia="仿宋_GB2312" w:cs="宋体"/>
                <w:kern w:val="0"/>
                <w:sz w:val="24"/>
              </w:rPr>
            </w:pPr>
          </w:p>
        </w:tc>
        <w:tc>
          <w:tcPr>
            <w:tcW w:w="1198" w:type="dxa"/>
            <w:gridSpan w:val="2"/>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仿宋_GB2312" w:hAnsi="宋体" w:eastAsia="仿宋_GB2312" w:cs="宋体"/>
                <w:kern w:val="0"/>
                <w:sz w:val="24"/>
              </w:rPr>
            </w:pPr>
          </w:p>
        </w:tc>
        <w:tc>
          <w:tcPr>
            <w:tcW w:w="12899"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仿宋_GB2312" w:hAnsi="宋体" w:eastAsia="仿宋_GB2312" w:cs="宋体"/>
                <w:kern w:val="0"/>
                <w:sz w:val="24"/>
              </w:rPr>
            </w:pPr>
            <w:r>
              <w:rPr>
                <w:rFonts w:hint="eastAsia" w:ascii="仿宋_GB2312" w:hAnsi="宋体" w:eastAsia="仿宋_GB2312" w:cs="宋体"/>
                <w:kern w:val="0"/>
                <w:sz w:val="24"/>
              </w:rPr>
              <w:t>4.12个月内不改变重组资产原来的实质性经营活动、原主要股东不转让所取得股权的承诺书；</w:t>
            </w:r>
          </w:p>
        </w:tc>
      </w:tr>
      <w:tr>
        <w:tblPrEx>
          <w:tblCellMar>
            <w:top w:w="0" w:type="dxa"/>
            <w:left w:w="108" w:type="dxa"/>
            <w:bottom w:w="0" w:type="dxa"/>
            <w:right w:w="108" w:type="dxa"/>
          </w:tblCellMar>
        </w:tblPrEx>
        <w:trPr>
          <w:trHeight w:val="402" w:hRule="atLeast"/>
        </w:trPr>
        <w:tc>
          <w:tcPr>
            <w:tcW w:w="66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仿宋_GB2312" w:hAnsi="宋体" w:eastAsia="仿宋_GB2312" w:cs="宋体"/>
                <w:kern w:val="0"/>
                <w:sz w:val="24"/>
              </w:rPr>
            </w:pPr>
          </w:p>
        </w:tc>
        <w:tc>
          <w:tcPr>
            <w:tcW w:w="1198" w:type="dxa"/>
            <w:gridSpan w:val="2"/>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仿宋_GB2312" w:hAnsi="宋体" w:eastAsia="仿宋_GB2312" w:cs="宋体"/>
                <w:kern w:val="0"/>
                <w:sz w:val="24"/>
              </w:rPr>
            </w:pPr>
          </w:p>
        </w:tc>
        <w:tc>
          <w:tcPr>
            <w:tcW w:w="12899"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仿宋_GB2312" w:hAnsi="宋体" w:eastAsia="仿宋_GB2312" w:cs="宋体"/>
                <w:kern w:val="0"/>
                <w:sz w:val="24"/>
              </w:rPr>
            </w:pPr>
            <w:r>
              <w:rPr>
                <w:rFonts w:hint="eastAsia" w:ascii="仿宋_GB2312" w:hAnsi="宋体" w:eastAsia="仿宋_GB2312" w:cs="宋体"/>
                <w:kern w:val="0"/>
                <w:sz w:val="24"/>
              </w:rPr>
              <w:t>5.工商管理部门等有权机关登记的相关企业股权变更事项的证明材料；</w:t>
            </w:r>
          </w:p>
        </w:tc>
      </w:tr>
      <w:tr>
        <w:tblPrEx>
          <w:tblCellMar>
            <w:top w:w="0" w:type="dxa"/>
            <w:left w:w="108" w:type="dxa"/>
            <w:bottom w:w="0" w:type="dxa"/>
            <w:right w:w="108" w:type="dxa"/>
          </w:tblCellMar>
        </w:tblPrEx>
        <w:trPr>
          <w:trHeight w:val="465" w:hRule="atLeast"/>
        </w:trPr>
        <w:tc>
          <w:tcPr>
            <w:tcW w:w="66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仿宋_GB2312" w:hAnsi="宋体" w:eastAsia="仿宋_GB2312" w:cs="宋体"/>
                <w:kern w:val="0"/>
                <w:sz w:val="24"/>
              </w:rPr>
            </w:pPr>
          </w:p>
        </w:tc>
        <w:tc>
          <w:tcPr>
            <w:tcW w:w="1198" w:type="dxa"/>
            <w:gridSpan w:val="2"/>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仿宋_GB2312" w:hAnsi="宋体" w:eastAsia="仿宋_GB2312" w:cs="宋体"/>
                <w:kern w:val="0"/>
                <w:sz w:val="24"/>
              </w:rPr>
            </w:pPr>
          </w:p>
        </w:tc>
        <w:tc>
          <w:tcPr>
            <w:tcW w:w="12899"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仿宋_GB2312" w:hAnsi="宋体" w:eastAsia="仿宋_GB2312" w:cs="宋体"/>
                <w:kern w:val="0"/>
                <w:sz w:val="24"/>
              </w:rPr>
            </w:pPr>
            <w:r>
              <w:rPr>
                <w:rFonts w:hint="eastAsia" w:ascii="仿宋_GB2312" w:hAnsi="宋体" w:eastAsia="仿宋_GB2312" w:cs="宋体"/>
                <w:kern w:val="0"/>
                <w:sz w:val="24"/>
              </w:rPr>
              <w:t>6.重组当事各方一致选择特殊性税务处理并加盖当事各方公章的证明资料；</w:t>
            </w:r>
          </w:p>
        </w:tc>
      </w:tr>
      <w:tr>
        <w:tblPrEx>
          <w:tblCellMar>
            <w:top w:w="0" w:type="dxa"/>
            <w:left w:w="108" w:type="dxa"/>
            <w:bottom w:w="0" w:type="dxa"/>
            <w:right w:w="108" w:type="dxa"/>
          </w:tblCellMar>
        </w:tblPrEx>
        <w:trPr>
          <w:trHeight w:val="525" w:hRule="atLeast"/>
        </w:trPr>
        <w:tc>
          <w:tcPr>
            <w:tcW w:w="66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仿宋_GB2312" w:hAnsi="宋体" w:eastAsia="仿宋_GB2312" w:cs="宋体"/>
                <w:kern w:val="0"/>
                <w:sz w:val="24"/>
              </w:rPr>
            </w:pPr>
          </w:p>
        </w:tc>
        <w:tc>
          <w:tcPr>
            <w:tcW w:w="1198" w:type="dxa"/>
            <w:gridSpan w:val="2"/>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仿宋_GB2312" w:hAnsi="宋体" w:eastAsia="仿宋_GB2312" w:cs="宋体"/>
                <w:kern w:val="0"/>
                <w:sz w:val="24"/>
              </w:rPr>
            </w:pPr>
          </w:p>
        </w:tc>
        <w:tc>
          <w:tcPr>
            <w:tcW w:w="12899"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仿宋_GB2312" w:hAnsi="宋体" w:eastAsia="仿宋_GB2312" w:cs="宋体"/>
                <w:kern w:val="0"/>
                <w:sz w:val="24"/>
              </w:rPr>
            </w:pPr>
            <w:r>
              <w:rPr>
                <w:rFonts w:hint="eastAsia" w:ascii="仿宋_GB2312" w:hAnsi="宋体" w:eastAsia="仿宋_GB2312" w:cs="宋体"/>
                <w:kern w:val="0"/>
                <w:sz w:val="24"/>
              </w:rPr>
              <w:t>7.涉及非货币性资产支付的，应提供非货币性资产评估报告或其他公允价值证明；</w:t>
            </w:r>
          </w:p>
        </w:tc>
      </w:tr>
      <w:tr>
        <w:tblPrEx>
          <w:tblCellMar>
            <w:top w:w="0" w:type="dxa"/>
            <w:left w:w="108" w:type="dxa"/>
            <w:bottom w:w="0" w:type="dxa"/>
            <w:right w:w="108" w:type="dxa"/>
          </w:tblCellMar>
        </w:tblPrEx>
        <w:trPr>
          <w:trHeight w:val="690" w:hRule="atLeast"/>
        </w:trPr>
        <w:tc>
          <w:tcPr>
            <w:tcW w:w="66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仿宋_GB2312" w:hAnsi="宋体" w:eastAsia="仿宋_GB2312" w:cs="宋体"/>
                <w:kern w:val="0"/>
                <w:sz w:val="24"/>
              </w:rPr>
            </w:pPr>
          </w:p>
        </w:tc>
        <w:tc>
          <w:tcPr>
            <w:tcW w:w="1198" w:type="dxa"/>
            <w:gridSpan w:val="2"/>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仿宋_GB2312" w:hAnsi="宋体" w:eastAsia="仿宋_GB2312" w:cs="宋体"/>
                <w:kern w:val="0"/>
                <w:sz w:val="24"/>
              </w:rPr>
            </w:pPr>
          </w:p>
        </w:tc>
        <w:tc>
          <w:tcPr>
            <w:tcW w:w="12899"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仿宋_GB2312" w:hAnsi="宋体" w:eastAsia="仿宋_GB2312" w:cs="宋体"/>
                <w:kern w:val="0"/>
                <w:sz w:val="24"/>
              </w:rPr>
            </w:pPr>
            <w:r>
              <w:rPr>
                <w:rFonts w:hint="eastAsia" w:ascii="仿宋_GB2312" w:hAnsi="宋体" w:eastAsia="仿宋_GB2312" w:cs="宋体"/>
                <w:kern w:val="0"/>
                <w:sz w:val="24"/>
              </w:rPr>
              <w:t>8.重组前连续12个月内有无与该重组相关的其他股权、资产交易,与该重组是否构成分步交易、是否作为一项企业重组业务进行处理情况的说明；</w:t>
            </w:r>
          </w:p>
        </w:tc>
      </w:tr>
      <w:tr>
        <w:tblPrEx>
          <w:tblCellMar>
            <w:top w:w="0" w:type="dxa"/>
            <w:left w:w="108" w:type="dxa"/>
            <w:bottom w:w="0" w:type="dxa"/>
            <w:right w:w="108" w:type="dxa"/>
          </w:tblCellMar>
        </w:tblPrEx>
        <w:trPr>
          <w:trHeight w:val="645" w:hRule="atLeast"/>
        </w:trPr>
        <w:tc>
          <w:tcPr>
            <w:tcW w:w="66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仿宋_GB2312" w:hAnsi="宋体" w:eastAsia="仿宋_GB2312" w:cs="宋体"/>
                <w:kern w:val="0"/>
                <w:sz w:val="24"/>
              </w:rPr>
            </w:pPr>
          </w:p>
        </w:tc>
        <w:tc>
          <w:tcPr>
            <w:tcW w:w="1198" w:type="dxa"/>
            <w:gridSpan w:val="2"/>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仿宋_GB2312" w:hAnsi="宋体" w:eastAsia="仿宋_GB2312" w:cs="宋体"/>
                <w:kern w:val="0"/>
                <w:sz w:val="24"/>
              </w:rPr>
            </w:pPr>
          </w:p>
        </w:tc>
        <w:tc>
          <w:tcPr>
            <w:tcW w:w="12899"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仿宋_GB2312" w:hAnsi="宋体" w:eastAsia="仿宋_GB2312" w:cs="宋体"/>
                <w:kern w:val="0"/>
                <w:sz w:val="24"/>
              </w:rPr>
            </w:pPr>
            <w:r>
              <w:rPr>
                <w:rFonts w:hint="eastAsia" w:ascii="仿宋_GB2312" w:hAnsi="宋体" w:eastAsia="仿宋_GB2312" w:cs="宋体"/>
                <w:kern w:val="0"/>
                <w:sz w:val="24"/>
              </w:rPr>
              <w:t>9.按会计准则规定当期应确认资产（股权）转让损益的，应提供按税法规定核算的资产（股权）计税基础与按会计准则规定核算的相关资产（股权）账面价值的暂时性差异专项说明。</w:t>
            </w:r>
          </w:p>
        </w:tc>
      </w:tr>
      <w:tr>
        <w:tblPrEx>
          <w:tblCellMar>
            <w:top w:w="0" w:type="dxa"/>
            <w:left w:w="108" w:type="dxa"/>
            <w:bottom w:w="0" w:type="dxa"/>
            <w:right w:w="108" w:type="dxa"/>
          </w:tblCellMar>
        </w:tblPrEx>
        <w:trPr>
          <w:trHeight w:val="330" w:hRule="atLeast"/>
        </w:trPr>
        <w:tc>
          <w:tcPr>
            <w:tcW w:w="66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仿宋_GB2312" w:hAnsi="宋体" w:eastAsia="仿宋_GB2312" w:cs="宋体"/>
                <w:kern w:val="0"/>
                <w:sz w:val="24"/>
              </w:rPr>
            </w:pPr>
            <w:r>
              <w:rPr>
                <w:rFonts w:hint="eastAsia" w:ascii="仿宋_GB2312" w:hAnsi="宋体" w:eastAsia="仿宋_GB2312" w:cs="宋体"/>
                <w:kern w:val="0"/>
                <w:sz w:val="24"/>
              </w:rPr>
              <w:t>资产收购</w:t>
            </w:r>
          </w:p>
        </w:tc>
        <w:tc>
          <w:tcPr>
            <w:tcW w:w="1198" w:type="dxa"/>
            <w:gridSpan w:val="2"/>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仿宋_GB2312" w:hAnsi="宋体" w:eastAsia="仿宋_GB2312" w:cs="宋体"/>
                <w:kern w:val="0"/>
                <w:sz w:val="24"/>
              </w:rPr>
            </w:pPr>
            <w:r>
              <w:rPr>
                <w:rFonts w:hint="eastAsia" w:ascii="仿宋_GB2312" w:hAnsi="宋体" w:eastAsia="仿宋_GB2312" w:cs="宋体"/>
                <w:kern w:val="0"/>
                <w:sz w:val="24"/>
              </w:rPr>
              <w:t>当事各方</w:t>
            </w:r>
          </w:p>
        </w:tc>
        <w:tc>
          <w:tcPr>
            <w:tcW w:w="12899" w:type="dxa"/>
            <w:tcBorders>
              <w:top w:val="nil"/>
              <w:left w:val="nil"/>
              <w:bottom w:val="single" w:color="auto" w:sz="4" w:space="0"/>
              <w:right w:val="single" w:color="auto" w:sz="4" w:space="0"/>
            </w:tcBorders>
            <w:shd w:val="clear" w:color="auto" w:fill="auto"/>
            <w:vAlign w:val="bottom"/>
          </w:tcPr>
          <w:p>
            <w:pPr>
              <w:widowControl/>
              <w:spacing w:line="280" w:lineRule="exact"/>
              <w:jc w:val="left"/>
              <w:rPr>
                <w:rFonts w:ascii="仿宋_GB2312" w:hAnsi="宋体" w:eastAsia="仿宋_GB2312" w:cs="宋体"/>
                <w:kern w:val="0"/>
                <w:sz w:val="24"/>
              </w:rPr>
            </w:pPr>
            <w:r>
              <w:rPr>
                <w:rFonts w:hint="eastAsia" w:ascii="仿宋_GB2312" w:hAnsi="宋体" w:eastAsia="仿宋_GB2312" w:cs="宋体"/>
                <w:kern w:val="0"/>
                <w:sz w:val="24"/>
              </w:rPr>
              <w:t>1.资产收购业务总体情况说明，包括资产收购方案、基本情况，并逐条说明资产收购的商业目的；</w:t>
            </w:r>
          </w:p>
        </w:tc>
      </w:tr>
      <w:tr>
        <w:tblPrEx>
          <w:tblCellMar>
            <w:top w:w="0" w:type="dxa"/>
            <w:left w:w="108" w:type="dxa"/>
            <w:bottom w:w="0" w:type="dxa"/>
            <w:right w:w="108" w:type="dxa"/>
          </w:tblCellMar>
        </w:tblPrEx>
        <w:trPr>
          <w:trHeight w:val="402" w:hRule="atLeast"/>
        </w:trPr>
        <w:tc>
          <w:tcPr>
            <w:tcW w:w="66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仿宋_GB2312" w:hAnsi="宋体" w:eastAsia="仿宋_GB2312" w:cs="宋体"/>
                <w:kern w:val="0"/>
                <w:sz w:val="24"/>
              </w:rPr>
            </w:pPr>
          </w:p>
        </w:tc>
        <w:tc>
          <w:tcPr>
            <w:tcW w:w="1198" w:type="dxa"/>
            <w:gridSpan w:val="2"/>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仿宋_GB2312" w:hAnsi="宋体" w:eastAsia="仿宋_GB2312" w:cs="宋体"/>
                <w:kern w:val="0"/>
                <w:sz w:val="24"/>
              </w:rPr>
            </w:pPr>
          </w:p>
        </w:tc>
        <w:tc>
          <w:tcPr>
            <w:tcW w:w="12899" w:type="dxa"/>
            <w:tcBorders>
              <w:top w:val="nil"/>
              <w:left w:val="nil"/>
              <w:bottom w:val="single" w:color="auto" w:sz="4" w:space="0"/>
              <w:right w:val="single" w:color="auto" w:sz="4" w:space="0"/>
            </w:tcBorders>
            <w:shd w:val="clear" w:color="auto" w:fill="auto"/>
            <w:vAlign w:val="bottom"/>
          </w:tcPr>
          <w:p>
            <w:pPr>
              <w:widowControl/>
              <w:spacing w:line="280" w:lineRule="exact"/>
              <w:jc w:val="left"/>
              <w:rPr>
                <w:rFonts w:ascii="仿宋_GB2312" w:hAnsi="宋体" w:eastAsia="仿宋_GB2312" w:cs="宋体"/>
                <w:kern w:val="0"/>
                <w:sz w:val="24"/>
              </w:rPr>
            </w:pPr>
            <w:r>
              <w:rPr>
                <w:rFonts w:hint="eastAsia" w:ascii="仿宋_GB2312" w:hAnsi="宋体" w:eastAsia="仿宋_GB2312" w:cs="宋体"/>
                <w:kern w:val="0"/>
                <w:sz w:val="24"/>
              </w:rPr>
              <w:t>2.资产收购业务合同(协议)，需有权部门（包括内部和外部）批准的，应提供批准文件；</w:t>
            </w:r>
          </w:p>
        </w:tc>
      </w:tr>
      <w:tr>
        <w:tblPrEx>
          <w:tblCellMar>
            <w:top w:w="0" w:type="dxa"/>
            <w:left w:w="108" w:type="dxa"/>
            <w:bottom w:w="0" w:type="dxa"/>
            <w:right w:w="108" w:type="dxa"/>
          </w:tblCellMar>
        </w:tblPrEx>
        <w:trPr>
          <w:trHeight w:val="402" w:hRule="atLeast"/>
        </w:trPr>
        <w:tc>
          <w:tcPr>
            <w:tcW w:w="66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仿宋_GB2312" w:hAnsi="宋体" w:eastAsia="仿宋_GB2312" w:cs="宋体"/>
                <w:kern w:val="0"/>
                <w:sz w:val="24"/>
              </w:rPr>
            </w:pPr>
          </w:p>
        </w:tc>
        <w:tc>
          <w:tcPr>
            <w:tcW w:w="1198" w:type="dxa"/>
            <w:gridSpan w:val="2"/>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仿宋_GB2312" w:hAnsi="宋体" w:eastAsia="仿宋_GB2312" w:cs="宋体"/>
                <w:kern w:val="0"/>
                <w:sz w:val="24"/>
              </w:rPr>
            </w:pPr>
          </w:p>
        </w:tc>
        <w:tc>
          <w:tcPr>
            <w:tcW w:w="12899" w:type="dxa"/>
            <w:tcBorders>
              <w:top w:val="nil"/>
              <w:left w:val="nil"/>
              <w:bottom w:val="single" w:color="auto" w:sz="4" w:space="0"/>
              <w:right w:val="single" w:color="auto" w:sz="4" w:space="0"/>
            </w:tcBorders>
            <w:shd w:val="clear" w:color="auto" w:fill="auto"/>
            <w:vAlign w:val="bottom"/>
          </w:tcPr>
          <w:p>
            <w:pPr>
              <w:widowControl/>
              <w:spacing w:line="280" w:lineRule="exact"/>
              <w:jc w:val="left"/>
              <w:rPr>
                <w:rFonts w:ascii="仿宋_GB2312" w:hAnsi="宋体" w:eastAsia="仿宋_GB2312" w:cs="宋体"/>
                <w:kern w:val="0"/>
                <w:sz w:val="24"/>
              </w:rPr>
            </w:pPr>
            <w:r>
              <w:rPr>
                <w:rFonts w:hint="eastAsia" w:ascii="仿宋_GB2312" w:hAnsi="宋体" w:eastAsia="仿宋_GB2312" w:cs="宋体"/>
                <w:kern w:val="0"/>
                <w:sz w:val="24"/>
              </w:rPr>
              <w:t>3.相关资产评估报告或其他公允价值证明；</w:t>
            </w:r>
          </w:p>
        </w:tc>
      </w:tr>
      <w:tr>
        <w:tblPrEx>
          <w:tblCellMar>
            <w:top w:w="0" w:type="dxa"/>
            <w:left w:w="108" w:type="dxa"/>
            <w:bottom w:w="0" w:type="dxa"/>
            <w:right w:w="108" w:type="dxa"/>
          </w:tblCellMar>
        </w:tblPrEx>
        <w:trPr>
          <w:trHeight w:val="402" w:hRule="atLeast"/>
        </w:trPr>
        <w:tc>
          <w:tcPr>
            <w:tcW w:w="66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仿宋_GB2312" w:hAnsi="宋体" w:eastAsia="仿宋_GB2312" w:cs="宋体"/>
                <w:kern w:val="0"/>
                <w:sz w:val="24"/>
              </w:rPr>
            </w:pPr>
          </w:p>
        </w:tc>
        <w:tc>
          <w:tcPr>
            <w:tcW w:w="1198" w:type="dxa"/>
            <w:gridSpan w:val="2"/>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仿宋_GB2312" w:hAnsi="宋体" w:eastAsia="仿宋_GB2312" w:cs="宋体"/>
                <w:kern w:val="0"/>
                <w:sz w:val="24"/>
              </w:rPr>
            </w:pPr>
          </w:p>
        </w:tc>
        <w:tc>
          <w:tcPr>
            <w:tcW w:w="12899" w:type="dxa"/>
            <w:tcBorders>
              <w:top w:val="nil"/>
              <w:left w:val="nil"/>
              <w:bottom w:val="single" w:color="auto" w:sz="4" w:space="0"/>
              <w:right w:val="single" w:color="auto" w:sz="4" w:space="0"/>
            </w:tcBorders>
            <w:shd w:val="clear" w:color="auto" w:fill="auto"/>
            <w:vAlign w:val="bottom"/>
          </w:tcPr>
          <w:p>
            <w:pPr>
              <w:widowControl/>
              <w:spacing w:line="280" w:lineRule="exact"/>
              <w:jc w:val="left"/>
              <w:rPr>
                <w:rFonts w:ascii="仿宋_GB2312" w:hAnsi="宋体" w:eastAsia="仿宋_GB2312" w:cs="宋体"/>
                <w:kern w:val="0"/>
                <w:sz w:val="24"/>
              </w:rPr>
            </w:pPr>
            <w:r>
              <w:rPr>
                <w:rFonts w:hint="eastAsia" w:ascii="仿宋_GB2312" w:hAnsi="宋体" w:eastAsia="仿宋_GB2312" w:cs="宋体"/>
                <w:kern w:val="0"/>
                <w:sz w:val="24"/>
              </w:rPr>
              <w:t>4.被收购资产原计税基础的证明；</w:t>
            </w:r>
          </w:p>
        </w:tc>
      </w:tr>
      <w:tr>
        <w:tblPrEx>
          <w:tblCellMar>
            <w:top w:w="0" w:type="dxa"/>
            <w:left w:w="108" w:type="dxa"/>
            <w:bottom w:w="0" w:type="dxa"/>
            <w:right w:w="108" w:type="dxa"/>
          </w:tblCellMar>
        </w:tblPrEx>
        <w:trPr>
          <w:trHeight w:val="402" w:hRule="atLeast"/>
        </w:trPr>
        <w:tc>
          <w:tcPr>
            <w:tcW w:w="66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仿宋_GB2312" w:hAnsi="宋体" w:eastAsia="仿宋_GB2312" w:cs="宋体"/>
                <w:kern w:val="0"/>
                <w:sz w:val="24"/>
              </w:rPr>
            </w:pPr>
          </w:p>
        </w:tc>
        <w:tc>
          <w:tcPr>
            <w:tcW w:w="1198" w:type="dxa"/>
            <w:gridSpan w:val="2"/>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仿宋_GB2312" w:hAnsi="宋体" w:eastAsia="仿宋_GB2312" w:cs="宋体"/>
                <w:kern w:val="0"/>
                <w:sz w:val="24"/>
              </w:rPr>
            </w:pPr>
          </w:p>
        </w:tc>
        <w:tc>
          <w:tcPr>
            <w:tcW w:w="12899" w:type="dxa"/>
            <w:tcBorders>
              <w:top w:val="nil"/>
              <w:left w:val="nil"/>
              <w:bottom w:val="single" w:color="auto" w:sz="4" w:space="0"/>
              <w:right w:val="single" w:color="auto" w:sz="4" w:space="0"/>
            </w:tcBorders>
            <w:shd w:val="clear" w:color="auto" w:fill="auto"/>
            <w:vAlign w:val="bottom"/>
          </w:tcPr>
          <w:p>
            <w:pPr>
              <w:widowControl/>
              <w:spacing w:line="280" w:lineRule="exact"/>
              <w:jc w:val="left"/>
              <w:rPr>
                <w:rFonts w:ascii="仿宋_GB2312" w:hAnsi="宋体" w:eastAsia="仿宋_GB2312" w:cs="宋体"/>
                <w:kern w:val="0"/>
                <w:sz w:val="24"/>
              </w:rPr>
            </w:pPr>
            <w:r>
              <w:rPr>
                <w:rFonts w:hint="eastAsia" w:ascii="仿宋_GB2312" w:hAnsi="宋体" w:eastAsia="仿宋_GB2312" w:cs="宋体"/>
                <w:kern w:val="0"/>
                <w:sz w:val="24"/>
              </w:rPr>
              <w:t>5.12个月内不改变资产原来的实质性经营活动、原主要股东不转让所取得股权的承诺书；</w:t>
            </w:r>
          </w:p>
        </w:tc>
      </w:tr>
      <w:tr>
        <w:tblPrEx>
          <w:tblCellMar>
            <w:top w:w="0" w:type="dxa"/>
            <w:left w:w="108" w:type="dxa"/>
            <w:bottom w:w="0" w:type="dxa"/>
            <w:right w:w="108" w:type="dxa"/>
          </w:tblCellMar>
        </w:tblPrEx>
        <w:trPr>
          <w:trHeight w:val="402" w:hRule="atLeast"/>
        </w:trPr>
        <w:tc>
          <w:tcPr>
            <w:tcW w:w="66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仿宋_GB2312" w:hAnsi="宋体" w:eastAsia="仿宋_GB2312" w:cs="宋体"/>
                <w:kern w:val="0"/>
                <w:sz w:val="24"/>
              </w:rPr>
            </w:pPr>
          </w:p>
        </w:tc>
        <w:tc>
          <w:tcPr>
            <w:tcW w:w="1198" w:type="dxa"/>
            <w:gridSpan w:val="2"/>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仿宋_GB2312" w:hAnsi="宋体" w:eastAsia="仿宋_GB2312" w:cs="宋体"/>
                <w:kern w:val="0"/>
                <w:sz w:val="24"/>
              </w:rPr>
            </w:pPr>
          </w:p>
        </w:tc>
        <w:tc>
          <w:tcPr>
            <w:tcW w:w="12899" w:type="dxa"/>
            <w:tcBorders>
              <w:top w:val="nil"/>
              <w:left w:val="nil"/>
              <w:bottom w:val="single" w:color="auto" w:sz="4" w:space="0"/>
              <w:right w:val="single" w:color="auto" w:sz="4" w:space="0"/>
            </w:tcBorders>
            <w:shd w:val="clear" w:color="auto" w:fill="auto"/>
            <w:vAlign w:val="bottom"/>
          </w:tcPr>
          <w:p>
            <w:pPr>
              <w:widowControl/>
              <w:spacing w:line="280" w:lineRule="exact"/>
              <w:jc w:val="left"/>
              <w:rPr>
                <w:rFonts w:ascii="仿宋_GB2312" w:hAnsi="宋体" w:eastAsia="仿宋_GB2312" w:cs="宋体"/>
                <w:kern w:val="0"/>
                <w:sz w:val="24"/>
              </w:rPr>
            </w:pPr>
            <w:r>
              <w:rPr>
                <w:rFonts w:hint="eastAsia" w:ascii="仿宋_GB2312" w:hAnsi="宋体" w:eastAsia="仿宋_GB2312" w:cs="宋体"/>
                <w:kern w:val="0"/>
                <w:sz w:val="24"/>
              </w:rPr>
              <w:t>6.工商管理部门等有权机关登记的相关企业股权变更事项的证明材料；</w:t>
            </w:r>
          </w:p>
        </w:tc>
      </w:tr>
      <w:tr>
        <w:tblPrEx>
          <w:tblCellMar>
            <w:top w:w="0" w:type="dxa"/>
            <w:left w:w="108" w:type="dxa"/>
            <w:bottom w:w="0" w:type="dxa"/>
            <w:right w:w="108" w:type="dxa"/>
          </w:tblCellMar>
        </w:tblPrEx>
        <w:trPr>
          <w:trHeight w:val="402" w:hRule="atLeast"/>
        </w:trPr>
        <w:tc>
          <w:tcPr>
            <w:tcW w:w="66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仿宋_GB2312" w:hAnsi="宋体" w:eastAsia="仿宋_GB2312" w:cs="宋体"/>
                <w:kern w:val="0"/>
                <w:sz w:val="24"/>
              </w:rPr>
            </w:pPr>
          </w:p>
        </w:tc>
        <w:tc>
          <w:tcPr>
            <w:tcW w:w="1198" w:type="dxa"/>
            <w:gridSpan w:val="2"/>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仿宋_GB2312" w:hAnsi="宋体" w:eastAsia="仿宋_GB2312" w:cs="宋体"/>
                <w:kern w:val="0"/>
                <w:sz w:val="24"/>
              </w:rPr>
            </w:pPr>
          </w:p>
        </w:tc>
        <w:tc>
          <w:tcPr>
            <w:tcW w:w="12899"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仿宋_GB2312" w:hAnsi="宋体" w:eastAsia="仿宋_GB2312" w:cs="宋体"/>
                <w:kern w:val="0"/>
                <w:sz w:val="24"/>
              </w:rPr>
            </w:pPr>
            <w:r>
              <w:rPr>
                <w:rFonts w:hint="eastAsia" w:ascii="仿宋_GB2312" w:hAnsi="宋体" w:eastAsia="仿宋_GB2312" w:cs="宋体"/>
                <w:kern w:val="0"/>
                <w:sz w:val="24"/>
              </w:rPr>
              <w:t>7.重组当事各方一致选择特殊性税务处理并加盖当事各方公章的证明资料；</w:t>
            </w:r>
          </w:p>
        </w:tc>
      </w:tr>
      <w:tr>
        <w:tblPrEx>
          <w:tblCellMar>
            <w:top w:w="0" w:type="dxa"/>
            <w:left w:w="108" w:type="dxa"/>
            <w:bottom w:w="0" w:type="dxa"/>
            <w:right w:w="108" w:type="dxa"/>
          </w:tblCellMar>
        </w:tblPrEx>
        <w:trPr>
          <w:trHeight w:val="360" w:hRule="atLeast"/>
        </w:trPr>
        <w:tc>
          <w:tcPr>
            <w:tcW w:w="66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仿宋_GB2312" w:hAnsi="宋体" w:eastAsia="仿宋_GB2312" w:cs="宋体"/>
                <w:kern w:val="0"/>
                <w:sz w:val="24"/>
              </w:rPr>
            </w:pPr>
          </w:p>
        </w:tc>
        <w:tc>
          <w:tcPr>
            <w:tcW w:w="1198" w:type="dxa"/>
            <w:gridSpan w:val="2"/>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仿宋_GB2312" w:hAnsi="宋体" w:eastAsia="仿宋_GB2312" w:cs="宋体"/>
                <w:kern w:val="0"/>
                <w:sz w:val="24"/>
              </w:rPr>
            </w:pPr>
          </w:p>
        </w:tc>
        <w:tc>
          <w:tcPr>
            <w:tcW w:w="12899" w:type="dxa"/>
            <w:tcBorders>
              <w:top w:val="nil"/>
              <w:left w:val="nil"/>
              <w:bottom w:val="single" w:color="auto" w:sz="4" w:space="0"/>
              <w:right w:val="single" w:color="auto" w:sz="4" w:space="0"/>
            </w:tcBorders>
            <w:shd w:val="clear" w:color="auto" w:fill="auto"/>
            <w:vAlign w:val="bottom"/>
          </w:tcPr>
          <w:p>
            <w:pPr>
              <w:widowControl/>
              <w:spacing w:line="280" w:lineRule="exact"/>
              <w:jc w:val="left"/>
              <w:rPr>
                <w:rFonts w:ascii="仿宋_GB2312" w:hAnsi="宋体" w:eastAsia="仿宋_GB2312" w:cs="宋体"/>
                <w:kern w:val="0"/>
                <w:sz w:val="24"/>
              </w:rPr>
            </w:pPr>
            <w:r>
              <w:rPr>
                <w:rFonts w:hint="eastAsia" w:ascii="仿宋_GB2312" w:hAnsi="宋体" w:eastAsia="仿宋_GB2312" w:cs="宋体"/>
                <w:kern w:val="0"/>
                <w:sz w:val="24"/>
              </w:rPr>
              <w:t>8.涉及非货币性资产支付的，应提供非货币性资产评估报告或其他公允价值证明；</w:t>
            </w:r>
          </w:p>
        </w:tc>
      </w:tr>
      <w:tr>
        <w:tblPrEx>
          <w:tblCellMar>
            <w:top w:w="0" w:type="dxa"/>
            <w:left w:w="108" w:type="dxa"/>
            <w:bottom w:w="0" w:type="dxa"/>
            <w:right w:w="108" w:type="dxa"/>
          </w:tblCellMar>
        </w:tblPrEx>
        <w:trPr>
          <w:trHeight w:val="600" w:hRule="atLeast"/>
        </w:trPr>
        <w:tc>
          <w:tcPr>
            <w:tcW w:w="66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仿宋_GB2312" w:hAnsi="宋体" w:eastAsia="仿宋_GB2312" w:cs="宋体"/>
                <w:kern w:val="0"/>
                <w:sz w:val="24"/>
              </w:rPr>
            </w:pPr>
          </w:p>
        </w:tc>
        <w:tc>
          <w:tcPr>
            <w:tcW w:w="1198" w:type="dxa"/>
            <w:gridSpan w:val="2"/>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仿宋_GB2312" w:hAnsi="宋体" w:eastAsia="仿宋_GB2312" w:cs="宋体"/>
                <w:kern w:val="0"/>
                <w:sz w:val="24"/>
              </w:rPr>
            </w:pPr>
          </w:p>
        </w:tc>
        <w:tc>
          <w:tcPr>
            <w:tcW w:w="12899" w:type="dxa"/>
            <w:tcBorders>
              <w:top w:val="nil"/>
              <w:left w:val="nil"/>
              <w:bottom w:val="single" w:color="auto" w:sz="4" w:space="0"/>
              <w:right w:val="single" w:color="auto" w:sz="4" w:space="0"/>
            </w:tcBorders>
            <w:shd w:val="clear" w:color="auto" w:fill="auto"/>
            <w:vAlign w:val="bottom"/>
          </w:tcPr>
          <w:p>
            <w:pPr>
              <w:widowControl/>
              <w:spacing w:line="280" w:lineRule="exact"/>
              <w:jc w:val="left"/>
              <w:rPr>
                <w:rFonts w:ascii="仿宋_GB2312" w:hAnsi="宋体" w:eastAsia="仿宋_GB2312" w:cs="宋体"/>
                <w:kern w:val="0"/>
                <w:sz w:val="24"/>
              </w:rPr>
            </w:pPr>
            <w:r>
              <w:rPr>
                <w:rFonts w:hint="eastAsia" w:ascii="仿宋_GB2312" w:hAnsi="宋体" w:eastAsia="仿宋_GB2312" w:cs="宋体"/>
                <w:kern w:val="0"/>
                <w:sz w:val="24"/>
              </w:rPr>
              <w:t>9.重组前连续12个月内有无与该重组相关的其他股权、资产交易,与该重组是否构成分步交易、是否作为一项企业重组业务进行处理情况的说明；</w:t>
            </w:r>
          </w:p>
        </w:tc>
      </w:tr>
      <w:tr>
        <w:tblPrEx>
          <w:tblCellMar>
            <w:top w:w="0" w:type="dxa"/>
            <w:left w:w="108" w:type="dxa"/>
            <w:bottom w:w="0" w:type="dxa"/>
            <w:right w:w="108" w:type="dxa"/>
          </w:tblCellMar>
        </w:tblPrEx>
        <w:trPr>
          <w:trHeight w:val="540" w:hRule="atLeast"/>
        </w:trPr>
        <w:tc>
          <w:tcPr>
            <w:tcW w:w="66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仿宋_GB2312" w:hAnsi="宋体" w:eastAsia="仿宋_GB2312" w:cs="宋体"/>
                <w:kern w:val="0"/>
                <w:sz w:val="24"/>
              </w:rPr>
            </w:pPr>
          </w:p>
        </w:tc>
        <w:tc>
          <w:tcPr>
            <w:tcW w:w="1198" w:type="dxa"/>
            <w:gridSpan w:val="2"/>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仿宋_GB2312" w:hAnsi="宋体" w:eastAsia="仿宋_GB2312" w:cs="宋体"/>
                <w:kern w:val="0"/>
                <w:sz w:val="24"/>
              </w:rPr>
            </w:pPr>
          </w:p>
        </w:tc>
        <w:tc>
          <w:tcPr>
            <w:tcW w:w="12899" w:type="dxa"/>
            <w:tcBorders>
              <w:top w:val="nil"/>
              <w:left w:val="nil"/>
              <w:bottom w:val="single" w:color="auto" w:sz="4" w:space="0"/>
              <w:right w:val="single" w:color="auto" w:sz="4" w:space="0"/>
            </w:tcBorders>
            <w:shd w:val="clear" w:color="auto" w:fill="auto"/>
            <w:vAlign w:val="bottom"/>
          </w:tcPr>
          <w:p>
            <w:pPr>
              <w:widowControl/>
              <w:spacing w:line="280" w:lineRule="exact"/>
              <w:jc w:val="left"/>
              <w:rPr>
                <w:rFonts w:ascii="仿宋_GB2312" w:hAnsi="宋体" w:eastAsia="仿宋_GB2312" w:cs="宋体"/>
                <w:kern w:val="0"/>
                <w:sz w:val="24"/>
              </w:rPr>
            </w:pPr>
            <w:r>
              <w:rPr>
                <w:rFonts w:hint="eastAsia" w:ascii="仿宋_GB2312" w:hAnsi="宋体" w:eastAsia="仿宋_GB2312" w:cs="宋体"/>
                <w:kern w:val="0"/>
                <w:sz w:val="24"/>
              </w:rPr>
              <w:t>10.按会计准则规定当期应确认资产（股权）转让损益的，应提供按税法规定核算的资产（股权）计税基础与按会计准则规定核算的相关资产（股权）账面价值的暂时性差异专项说明。</w:t>
            </w:r>
          </w:p>
        </w:tc>
      </w:tr>
      <w:tr>
        <w:tblPrEx>
          <w:tblCellMar>
            <w:top w:w="0" w:type="dxa"/>
            <w:left w:w="108" w:type="dxa"/>
            <w:bottom w:w="0" w:type="dxa"/>
            <w:right w:w="108" w:type="dxa"/>
          </w:tblCellMar>
        </w:tblPrEx>
        <w:trPr>
          <w:trHeight w:val="402" w:hRule="atLeast"/>
        </w:trPr>
        <w:tc>
          <w:tcPr>
            <w:tcW w:w="66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仿宋_GB2312" w:hAnsi="宋体" w:eastAsia="仿宋_GB2312" w:cs="宋体"/>
                <w:kern w:val="0"/>
                <w:sz w:val="24"/>
              </w:rPr>
            </w:pPr>
            <w:r>
              <w:rPr>
                <w:rFonts w:hint="eastAsia" w:ascii="仿宋_GB2312" w:hAnsi="宋体" w:eastAsia="仿宋_GB2312" w:cs="宋体"/>
                <w:kern w:val="0"/>
                <w:sz w:val="24"/>
              </w:rPr>
              <w:t>合并</w:t>
            </w:r>
          </w:p>
        </w:tc>
        <w:tc>
          <w:tcPr>
            <w:tcW w:w="1198" w:type="dxa"/>
            <w:gridSpan w:val="2"/>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仿宋_GB2312" w:hAnsi="宋体" w:eastAsia="仿宋_GB2312" w:cs="宋体"/>
                <w:kern w:val="0"/>
                <w:sz w:val="24"/>
              </w:rPr>
            </w:pPr>
            <w:r>
              <w:rPr>
                <w:rFonts w:hint="eastAsia" w:ascii="仿宋_GB2312" w:hAnsi="宋体" w:eastAsia="仿宋_GB2312" w:cs="宋体"/>
                <w:kern w:val="0"/>
                <w:sz w:val="24"/>
              </w:rPr>
              <w:t>当事各方</w:t>
            </w:r>
          </w:p>
        </w:tc>
        <w:tc>
          <w:tcPr>
            <w:tcW w:w="12899" w:type="dxa"/>
            <w:tcBorders>
              <w:top w:val="nil"/>
              <w:left w:val="nil"/>
              <w:bottom w:val="single" w:color="auto" w:sz="4" w:space="0"/>
              <w:right w:val="single" w:color="auto" w:sz="4" w:space="0"/>
            </w:tcBorders>
            <w:shd w:val="clear" w:color="auto" w:fill="auto"/>
            <w:vAlign w:val="bottom"/>
          </w:tcPr>
          <w:p>
            <w:pPr>
              <w:widowControl/>
              <w:spacing w:line="280" w:lineRule="exact"/>
              <w:jc w:val="left"/>
              <w:rPr>
                <w:rFonts w:ascii="仿宋_GB2312" w:hAnsi="宋体" w:eastAsia="仿宋_GB2312" w:cs="宋体"/>
                <w:kern w:val="0"/>
                <w:sz w:val="24"/>
              </w:rPr>
            </w:pPr>
            <w:r>
              <w:rPr>
                <w:rFonts w:hint="eastAsia" w:ascii="仿宋_GB2312" w:hAnsi="宋体" w:eastAsia="仿宋_GB2312" w:cs="宋体"/>
                <w:kern w:val="0"/>
                <w:sz w:val="24"/>
              </w:rPr>
              <w:t>1.企业合并的总体情况说明，包括合并方案、基本情况，并逐条说明企业合并的商业目的；</w:t>
            </w:r>
          </w:p>
        </w:tc>
      </w:tr>
      <w:tr>
        <w:tblPrEx>
          <w:tblCellMar>
            <w:top w:w="0" w:type="dxa"/>
            <w:left w:w="108" w:type="dxa"/>
            <w:bottom w:w="0" w:type="dxa"/>
            <w:right w:w="108" w:type="dxa"/>
          </w:tblCellMar>
        </w:tblPrEx>
        <w:trPr>
          <w:trHeight w:val="402" w:hRule="atLeast"/>
        </w:trPr>
        <w:tc>
          <w:tcPr>
            <w:tcW w:w="66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仿宋_GB2312" w:hAnsi="宋体" w:eastAsia="仿宋_GB2312" w:cs="宋体"/>
                <w:kern w:val="0"/>
                <w:sz w:val="24"/>
              </w:rPr>
            </w:pPr>
          </w:p>
        </w:tc>
        <w:tc>
          <w:tcPr>
            <w:tcW w:w="1198" w:type="dxa"/>
            <w:gridSpan w:val="2"/>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仿宋_GB2312" w:hAnsi="宋体" w:eastAsia="仿宋_GB2312" w:cs="宋体"/>
                <w:kern w:val="0"/>
                <w:sz w:val="24"/>
              </w:rPr>
            </w:pPr>
          </w:p>
        </w:tc>
        <w:tc>
          <w:tcPr>
            <w:tcW w:w="12899" w:type="dxa"/>
            <w:tcBorders>
              <w:top w:val="nil"/>
              <w:left w:val="nil"/>
              <w:bottom w:val="single" w:color="auto" w:sz="4" w:space="0"/>
              <w:right w:val="single" w:color="auto" w:sz="4" w:space="0"/>
            </w:tcBorders>
            <w:shd w:val="clear" w:color="auto" w:fill="auto"/>
            <w:vAlign w:val="bottom"/>
          </w:tcPr>
          <w:p>
            <w:pPr>
              <w:widowControl/>
              <w:spacing w:line="280" w:lineRule="exact"/>
              <w:jc w:val="left"/>
              <w:rPr>
                <w:rFonts w:ascii="仿宋_GB2312" w:hAnsi="宋体" w:eastAsia="仿宋_GB2312" w:cs="宋体"/>
                <w:kern w:val="0"/>
                <w:sz w:val="24"/>
              </w:rPr>
            </w:pPr>
            <w:r>
              <w:rPr>
                <w:rFonts w:hint="eastAsia" w:ascii="仿宋_GB2312" w:hAnsi="宋体" w:eastAsia="仿宋_GB2312" w:cs="宋体"/>
                <w:kern w:val="0"/>
                <w:sz w:val="24"/>
              </w:rPr>
              <w:t>2.企业合并协议或决议，需有权部门（包括内部和外部）批准的，应提供批准文件；</w:t>
            </w:r>
          </w:p>
        </w:tc>
      </w:tr>
      <w:tr>
        <w:tblPrEx>
          <w:tblCellMar>
            <w:top w:w="0" w:type="dxa"/>
            <w:left w:w="108" w:type="dxa"/>
            <w:bottom w:w="0" w:type="dxa"/>
            <w:right w:w="108" w:type="dxa"/>
          </w:tblCellMar>
        </w:tblPrEx>
        <w:trPr>
          <w:trHeight w:val="600" w:hRule="atLeast"/>
        </w:trPr>
        <w:tc>
          <w:tcPr>
            <w:tcW w:w="66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仿宋_GB2312" w:hAnsi="宋体" w:eastAsia="仿宋_GB2312" w:cs="宋体"/>
                <w:kern w:val="0"/>
                <w:sz w:val="24"/>
              </w:rPr>
            </w:pPr>
          </w:p>
        </w:tc>
        <w:tc>
          <w:tcPr>
            <w:tcW w:w="1198" w:type="dxa"/>
            <w:gridSpan w:val="2"/>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仿宋_GB2312" w:hAnsi="宋体" w:eastAsia="仿宋_GB2312" w:cs="宋体"/>
                <w:kern w:val="0"/>
                <w:sz w:val="24"/>
              </w:rPr>
            </w:pPr>
          </w:p>
        </w:tc>
        <w:tc>
          <w:tcPr>
            <w:tcW w:w="12899" w:type="dxa"/>
            <w:tcBorders>
              <w:top w:val="nil"/>
              <w:left w:val="nil"/>
              <w:bottom w:val="single" w:color="auto" w:sz="4" w:space="0"/>
              <w:right w:val="single" w:color="auto" w:sz="4" w:space="0"/>
            </w:tcBorders>
            <w:shd w:val="clear" w:color="auto" w:fill="auto"/>
            <w:vAlign w:val="bottom"/>
          </w:tcPr>
          <w:p>
            <w:pPr>
              <w:widowControl/>
              <w:spacing w:line="280" w:lineRule="exact"/>
              <w:jc w:val="left"/>
              <w:rPr>
                <w:rFonts w:ascii="仿宋_GB2312" w:hAnsi="宋体" w:eastAsia="仿宋_GB2312" w:cs="宋体"/>
                <w:kern w:val="0"/>
                <w:sz w:val="24"/>
              </w:rPr>
            </w:pPr>
            <w:r>
              <w:rPr>
                <w:rFonts w:hint="eastAsia" w:ascii="仿宋_GB2312" w:hAnsi="宋体" w:eastAsia="仿宋_GB2312" w:cs="宋体"/>
                <w:kern w:val="0"/>
                <w:sz w:val="24"/>
              </w:rPr>
              <w:t>3.企业合并当事各方的股权关系说明，若属同一控制下且不需支付对价的合并，还需提供在企业合并前，参与合并各方受最终控制方的控制在12个月以上的证明材料；</w:t>
            </w:r>
          </w:p>
        </w:tc>
      </w:tr>
      <w:tr>
        <w:tblPrEx>
          <w:tblCellMar>
            <w:top w:w="0" w:type="dxa"/>
            <w:left w:w="108" w:type="dxa"/>
            <w:bottom w:w="0" w:type="dxa"/>
            <w:right w:w="108" w:type="dxa"/>
          </w:tblCellMar>
        </w:tblPrEx>
        <w:trPr>
          <w:trHeight w:val="345" w:hRule="atLeast"/>
        </w:trPr>
        <w:tc>
          <w:tcPr>
            <w:tcW w:w="66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仿宋_GB2312" w:hAnsi="宋体" w:eastAsia="仿宋_GB2312" w:cs="宋体"/>
                <w:kern w:val="0"/>
                <w:sz w:val="24"/>
              </w:rPr>
            </w:pPr>
          </w:p>
        </w:tc>
        <w:tc>
          <w:tcPr>
            <w:tcW w:w="1198" w:type="dxa"/>
            <w:gridSpan w:val="2"/>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仿宋_GB2312" w:hAnsi="宋体" w:eastAsia="仿宋_GB2312" w:cs="宋体"/>
                <w:kern w:val="0"/>
                <w:sz w:val="24"/>
              </w:rPr>
            </w:pPr>
          </w:p>
        </w:tc>
        <w:tc>
          <w:tcPr>
            <w:tcW w:w="12899" w:type="dxa"/>
            <w:tcBorders>
              <w:top w:val="nil"/>
              <w:left w:val="nil"/>
              <w:bottom w:val="single" w:color="auto" w:sz="4" w:space="0"/>
              <w:right w:val="single" w:color="auto" w:sz="4" w:space="0"/>
            </w:tcBorders>
            <w:shd w:val="clear" w:color="auto" w:fill="auto"/>
            <w:vAlign w:val="bottom"/>
          </w:tcPr>
          <w:p>
            <w:pPr>
              <w:widowControl/>
              <w:spacing w:line="280" w:lineRule="exact"/>
              <w:jc w:val="left"/>
              <w:rPr>
                <w:rFonts w:ascii="仿宋_GB2312" w:hAnsi="宋体" w:eastAsia="仿宋_GB2312" w:cs="宋体"/>
                <w:kern w:val="0"/>
                <w:sz w:val="24"/>
              </w:rPr>
            </w:pPr>
            <w:r>
              <w:rPr>
                <w:rFonts w:hint="eastAsia" w:ascii="仿宋_GB2312" w:hAnsi="宋体" w:eastAsia="仿宋_GB2312" w:cs="宋体"/>
                <w:kern w:val="0"/>
                <w:sz w:val="24"/>
              </w:rPr>
              <w:t>4.被合并企业净资产、各单项资产和负债的账面价值和计税基础等相关资料；</w:t>
            </w:r>
          </w:p>
        </w:tc>
      </w:tr>
      <w:tr>
        <w:tblPrEx>
          <w:tblCellMar>
            <w:top w:w="0" w:type="dxa"/>
            <w:left w:w="108" w:type="dxa"/>
            <w:bottom w:w="0" w:type="dxa"/>
            <w:right w:w="108" w:type="dxa"/>
          </w:tblCellMar>
        </w:tblPrEx>
        <w:trPr>
          <w:trHeight w:val="330" w:hRule="atLeast"/>
        </w:trPr>
        <w:tc>
          <w:tcPr>
            <w:tcW w:w="66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仿宋_GB2312" w:hAnsi="宋体" w:eastAsia="仿宋_GB2312" w:cs="宋体"/>
                <w:kern w:val="0"/>
                <w:sz w:val="24"/>
              </w:rPr>
            </w:pPr>
          </w:p>
        </w:tc>
        <w:tc>
          <w:tcPr>
            <w:tcW w:w="1198" w:type="dxa"/>
            <w:gridSpan w:val="2"/>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仿宋_GB2312" w:hAnsi="宋体" w:eastAsia="仿宋_GB2312" w:cs="宋体"/>
                <w:kern w:val="0"/>
                <w:sz w:val="24"/>
              </w:rPr>
            </w:pPr>
          </w:p>
        </w:tc>
        <w:tc>
          <w:tcPr>
            <w:tcW w:w="12899" w:type="dxa"/>
            <w:tcBorders>
              <w:top w:val="nil"/>
              <w:left w:val="nil"/>
              <w:bottom w:val="single" w:color="auto" w:sz="4" w:space="0"/>
              <w:right w:val="single" w:color="auto" w:sz="4" w:space="0"/>
            </w:tcBorders>
            <w:shd w:val="clear" w:color="auto" w:fill="auto"/>
            <w:vAlign w:val="bottom"/>
          </w:tcPr>
          <w:p>
            <w:pPr>
              <w:widowControl/>
              <w:spacing w:line="280" w:lineRule="exact"/>
              <w:jc w:val="left"/>
              <w:rPr>
                <w:rFonts w:ascii="仿宋_GB2312" w:hAnsi="宋体" w:eastAsia="仿宋_GB2312" w:cs="宋体"/>
                <w:kern w:val="0"/>
                <w:sz w:val="24"/>
              </w:rPr>
            </w:pPr>
            <w:r>
              <w:rPr>
                <w:rFonts w:hint="eastAsia" w:ascii="仿宋_GB2312" w:hAnsi="宋体" w:eastAsia="仿宋_GB2312" w:cs="宋体"/>
                <w:kern w:val="0"/>
                <w:sz w:val="24"/>
              </w:rPr>
              <w:t>5.12个月内不改变资产原来的实质性经营活动、原主要股东不转让所取得股权的承诺书；</w:t>
            </w:r>
          </w:p>
        </w:tc>
      </w:tr>
      <w:tr>
        <w:tblPrEx>
          <w:tblCellMar>
            <w:top w:w="0" w:type="dxa"/>
            <w:left w:w="108" w:type="dxa"/>
            <w:bottom w:w="0" w:type="dxa"/>
            <w:right w:w="108" w:type="dxa"/>
          </w:tblCellMar>
        </w:tblPrEx>
        <w:trPr>
          <w:trHeight w:val="402" w:hRule="atLeast"/>
        </w:trPr>
        <w:tc>
          <w:tcPr>
            <w:tcW w:w="66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仿宋_GB2312" w:hAnsi="宋体" w:eastAsia="仿宋_GB2312" w:cs="宋体"/>
                <w:kern w:val="0"/>
                <w:sz w:val="24"/>
              </w:rPr>
            </w:pPr>
          </w:p>
        </w:tc>
        <w:tc>
          <w:tcPr>
            <w:tcW w:w="1198" w:type="dxa"/>
            <w:gridSpan w:val="2"/>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仿宋_GB2312" w:hAnsi="宋体" w:eastAsia="仿宋_GB2312" w:cs="宋体"/>
                <w:kern w:val="0"/>
                <w:sz w:val="24"/>
              </w:rPr>
            </w:pPr>
          </w:p>
        </w:tc>
        <w:tc>
          <w:tcPr>
            <w:tcW w:w="12899" w:type="dxa"/>
            <w:tcBorders>
              <w:top w:val="nil"/>
              <w:left w:val="nil"/>
              <w:bottom w:val="single" w:color="auto" w:sz="4" w:space="0"/>
              <w:right w:val="single" w:color="auto" w:sz="4" w:space="0"/>
            </w:tcBorders>
            <w:shd w:val="clear" w:color="auto" w:fill="auto"/>
            <w:vAlign w:val="bottom"/>
          </w:tcPr>
          <w:p>
            <w:pPr>
              <w:widowControl/>
              <w:spacing w:line="280" w:lineRule="exact"/>
              <w:jc w:val="left"/>
              <w:rPr>
                <w:rFonts w:ascii="仿宋_GB2312" w:hAnsi="宋体" w:eastAsia="仿宋_GB2312" w:cs="宋体"/>
                <w:kern w:val="0"/>
                <w:sz w:val="24"/>
              </w:rPr>
            </w:pPr>
            <w:r>
              <w:rPr>
                <w:rFonts w:hint="eastAsia" w:ascii="仿宋_GB2312" w:hAnsi="宋体" w:eastAsia="仿宋_GB2312" w:cs="宋体"/>
                <w:kern w:val="0"/>
                <w:sz w:val="24"/>
              </w:rPr>
              <w:t>6.工商管理部门等有权机关登记的相关企业股权变更事项的证明材料；</w:t>
            </w:r>
          </w:p>
        </w:tc>
      </w:tr>
      <w:tr>
        <w:tblPrEx>
          <w:tblCellMar>
            <w:top w:w="0" w:type="dxa"/>
            <w:left w:w="108" w:type="dxa"/>
            <w:bottom w:w="0" w:type="dxa"/>
            <w:right w:w="108" w:type="dxa"/>
          </w:tblCellMar>
        </w:tblPrEx>
        <w:trPr>
          <w:trHeight w:val="570" w:hRule="atLeast"/>
        </w:trPr>
        <w:tc>
          <w:tcPr>
            <w:tcW w:w="66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仿宋_GB2312" w:hAnsi="宋体" w:eastAsia="仿宋_GB2312" w:cs="宋体"/>
                <w:kern w:val="0"/>
                <w:sz w:val="24"/>
              </w:rPr>
            </w:pPr>
          </w:p>
        </w:tc>
        <w:tc>
          <w:tcPr>
            <w:tcW w:w="1198" w:type="dxa"/>
            <w:gridSpan w:val="2"/>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仿宋_GB2312" w:hAnsi="宋体" w:eastAsia="仿宋_GB2312" w:cs="宋体"/>
                <w:kern w:val="0"/>
                <w:sz w:val="24"/>
              </w:rPr>
            </w:pPr>
          </w:p>
        </w:tc>
        <w:tc>
          <w:tcPr>
            <w:tcW w:w="12899" w:type="dxa"/>
            <w:tcBorders>
              <w:top w:val="nil"/>
              <w:left w:val="nil"/>
              <w:bottom w:val="single" w:color="auto" w:sz="4" w:space="0"/>
              <w:right w:val="single" w:color="auto" w:sz="4" w:space="0"/>
            </w:tcBorders>
            <w:shd w:val="clear" w:color="auto" w:fill="auto"/>
            <w:vAlign w:val="bottom"/>
          </w:tcPr>
          <w:p>
            <w:pPr>
              <w:widowControl/>
              <w:spacing w:line="280" w:lineRule="exact"/>
              <w:jc w:val="left"/>
              <w:rPr>
                <w:rFonts w:ascii="仿宋_GB2312" w:hAnsi="宋体" w:eastAsia="仿宋_GB2312" w:cs="宋体"/>
                <w:kern w:val="0"/>
                <w:sz w:val="24"/>
              </w:rPr>
            </w:pPr>
            <w:r>
              <w:rPr>
                <w:rFonts w:hint="eastAsia" w:ascii="仿宋_GB2312" w:hAnsi="宋体" w:eastAsia="仿宋_GB2312" w:cs="宋体"/>
                <w:kern w:val="0"/>
                <w:sz w:val="24"/>
              </w:rPr>
              <w:t>7.合并企业承继被合并企业相关所得税事项（包括尚未确认的资产损失、分期确认收入和尚未享受期满的税收优惠政策等）情况说明；</w:t>
            </w:r>
          </w:p>
        </w:tc>
      </w:tr>
      <w:tr>
        <w:tblPrEx>
          <w:tblCellMar>
            <w:top w:w="0" w:type="dxa"/>
            <w:left w:w="108" w:type="dxa"/>
            <w:bottom w:w="0" w:type="dxa"/>
            <w:right w:w="108" w:type="dxa"/>
          </w:tblCellMar>
        </w:tblPrEx>
        <w:trPr>
          <w:trHeight w:val="330" w:hRule="atLeast"/>
        </w:trPr>
        <w:tc>
          <w:tcPr>
            <w:tcW w:w="66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仿宋_GB2312" w:hAnsi="宋体" w:eastAsia="仿宋_GB2312" w:cs="宋体"/>
                <w:kern w:val="0"/>
                <w:sz w:val="24"/>
              </w:rPr>
            </w:pPr>
          </w:p>
        </w:tc>
        <w:tc>
          <w:tcPr>
            <w:tcW w:w="1198" w:type="dxa"/>
            <w:gridSpan w:val="2"/>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仿宋_GB2312" w:hAnsi="宋体" w:eastAsia="仿宋_GB2312" w:cs="宋体"/>
                <w:kern w:val="0"/>
                <w:sz w:val="24"/>
              </w:rPr>
            </w:pPr>
          </w:p>
        </w:tc>
        <w:tc>
          <w:tcPr>
            <w:tcW w:w="12899" w:type="dxa"/>
            <w:tcBorders>
              <w:top w:val="nil"/>
              <w:left w:val="nil"/>
              <w:bottom w:val="single" w:color="auto" w:sz="4" w:space="0"/>
              <w:right w:val="single" w:color="auto" w:sz="4" w:space="0"/>
            </w:tcBorders>
            <w:shd w:val="clear" w:color="auto" w:fill="auto"/>
            <w:vAlign w:val="bottom"/>
          </w:tcPr>
          <w:p>
            <w:pPr>
              <w:widowControl/>
              <w:spacing w:line="280" w:lineRule="exact"/>
              <w:jc w:val="left"/>
              <w:rPr>
                <w:rFonts w:ascii="仿宋_GB2312" w:hAnsi="宋体" w:eastAsia="仿宋_GB2312" w:cs="宋体"/>
                <w:kern w:val="0"/>
                <w:sz w:val="24"/>
              </w:rPr>
            </w:pPr>
            <w:r>
              <w:rPr>
                <w:rFonts w:hint="eastAsia" w:ascii="仿宋_GB2312" w:hAnsi="宋体" w:eastAsia="仿宋_GB2312" w:cs="宋体"/>
                <w:kern w:val="0"/>
                <w:sz w:val="24"/>
              </w:rPr>
              <w:t>8.涉及可由合并企业弥补被合并企业亏损的，需要提供其合并日净资产公允价值证明材料及主管税务机关确认的亏损弥补情况说明；</w:t>
            </w:r>
          </w:p>
        </w:tc>
      </w:tr>
      <w:tr>
        <w:tblPrEx>
          <w:tblCellMar>
            <w:top w:w="0" w:type="dxa"/>
            <w:left w:w="108" w:type="dxa"/>
            <w:bottom w:w="0" w:type="dxa"/>
            <w:right w:w="108" w:type="dxa"/>
          </w:tblCellMar>
        </w:tblPrEx>
        <w:trPr>
          <w:trHeight w:val="390" w:hRule="atLeast"/>
        </w:trPr>
        <w:tc>
          <w:tcPr>
            <w:tcW w:w="66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仿宋_GB2312" w:hAnsi="宋体" w:eastAsia="仿宋_GB2312" w:cs="宋体"/>
                <w:kern w:val="0"/>
                <w:sz w:val="24"/>
              </w:rPr>
            </w:pPr>
          </w:p>
        </w:tc>
        <w:tc>
          <w:tcPr>
            <w:tcW w:w="1198" w:type="dxa"/>
            <w:gridSpan w:val="2"/>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仿宋_GB2312" w:hAnsi="宋体" w:eastAsia="仿宋_GB2312" w:cs="宋体"/>
                <w:kern w:val="0"/>
                <w:sz w:val="24"/>
              </w:rPr>
            </w:pPr>
          </w:p>
        </w:tc>
        <w:tc>
          <w:tcPr>
            <w:tcW w:w="12899" w:type="dxa"/>
            <w:tcBorders>
              <w:top w:val="nil"/>
              <w:left w:val="nil"/>
              <w:bottom w:val="single" w:color="auto" w:sz="4" w:space="0"/>
              <w:right w:val="single" w:color="auto" w:sz="4" w:space="0"/>
            </w:tcBorders>
            <w:shd w:val="clear" w:color="auto" w:fill="auto"/>
            <w:vAlign w:val="bottom"/>
          </w:tcPr>
          <w:p>
            <w:pPr>
              <w:widowControl/>
              <w:spacing w:line="280" w:lineRule="exact"/>
              <w:jc w:val="left"/>
              <w:rPr>
                <w:rFonts w:ascii="仿宋_GB2312" w:hAnsi="宋体" w:eastAsia="仿宋_GB2312" w:cs="宋体"/>
                <w:kern w:val="0"/>
                <w:sz w:val="24"/>
              </w:rPr>
            </w:pPr>
            <w:r>
              <w:rPr>
                <w:rFonts w:hint="eastAsia" w:ascii="仿宋_GB2312" w:hAnsi="宋体" w:eastAsia="仿宋_GB2312" w:cs="宋体"/>
                <w:kern w:val="0"/>
                <w:sz w:val="24"/>
              </w:rPr>
              <w:t>9.重组当事各方一致选择特殊性税务处理并加盖当事各方公章的证明资料；</w:t>
            </w:r>
          </w:p>
        </w:tc>
      </w:tr>
      <w:tr>
        <w:tblPrEx>
          <w:tblCellMar>
            <w:top w:w="0" w:type="dxa"/>
            <w:left w:w="108" w:type="dxa"/>
            <w:bottom w:w="0" w:type="dxa"/>
            <w:right w:w="108" w:type="dxa"/>
          </w:tblCellMar>
        </w:tblPrEx>
        <w:trPr>
          <w:trHeight w:val="402" w:hRule="atLeast"/>
        </w:trPr>
        <w:tc>
          <w:tcPr>
            <w:tcW w:w="66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仿宋_GB2312" w:hAnsi="宋体" w:eastAsia="仿宋_GB2312" w:cs="宋体"/>
                <w:kern w:val="0"/>
                <w:sz w:val="24"/>
              </w:rPr>
            </w:pPr>
          </w:p>
        </w:tc>
        <w:tc>
          <w:tcPr>
            <w:tcW w:w="1198" w:type="dxa"/>
            <w:gridSpan w:val="2"/>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仿宋_GB2312" w:hAnsi="宋体" w:eastAsia="仿宋_GB2312" w:cs="宋体"/>
                <w:kern w:val="0"/>
                <w:sz w:val="24"/>
              </w:rPr>
            </w:pPr>
          </w:p>
        </w:tc>
        <w:tc>
          <w:tcPr>
            <w:tcW w:w="12899" w:type="dxa"/>
            <w:tcBorders>
              <w:top w:val="nil"/>
              <w:left w:val="nil"/>
              <w:bottom w:val="single" w:color="auto" w:sz="4" w:space="0"/>
              <w:right w:val="single" w:color="auto" w:sz="4" w:space="0"/>
            </w:tcBorders>
            <w:shd w:val="clear" w:color="auto" w:fill="auto"/>
            <w:vAlign w:val="bottom"/>
          </w:tcPr>
          <w:p>
            <w:pPr>
              <w:widowControl/>
              <w:spacing w:line="280" w:lineRule="exact"/>
              <w:jc w:val="left"/>
              <w:rPr>
                <w:rFonts w:ascii="仿宋_GB2312" w:hAnsi="宋体" w:eastAsia="仿宋_GB2312" w:cs="宋体"/>
                <w:kern w:val="0"/>
                <w:sz w:val="24"/>
              </w:rPr>
            </w:pPr>
            <w:r>
              <w:rPr>
                <w:rFonts w:hint="eastAsia" w:ascii="仿宋_GB2312" w:hAnsi="宋体" w:eastAsia="仿宋_GB2312" w:cs="宋体"/>
                <w:kern w:val="0"/>
                <w:sz w:val="24"/>
              </w:rPr>
              <w:t>10.涉及非货币性资产支付的，应提供非货币性资产评估报告或其他公允价值证明；</w:t>
            </w:r>
          </w:p>
        </w:tc>
      </w:tr>
      <w:tr>
        <w:tblPrEx>
          <w:tblCellMar>
            <w:top w:w="0" w:type="dxa"/>
            <w:left w:w="108" w:type="dxa"/>
            <w:bottom w:w="0" w:type="dxa"/>
            <w:right w:w="108" w:type="dxa"/>
          </w:tblCellMar>
        </w:tblPrEx>
        <w:trPr>
          <w:trHeight w:val="600" w:hRule="atLeast"/>
        </w:trPr>
        <w:tc>
          <w:tcPr>
            <w:tcW w:w="66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仿宋_GB2312" w:hAnsi="宋体" w:eastAsia="仿宋_GB2312" w:cs="宋体"/>
                <w:kern w:val="0"/>
                <w:sz w:val="24"/>
              </w:rPr>
            </w:pPr>
          </w:p>
        </w:tc>
        <w:tc>
          <w:tcPr>
            <w:tcW w:w="1198" w:type="dxa"/>
            <w:gridSpan w:val="2"/>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仿宋_GB2312" w:hAnsi="宋体" w:eastAsia="仿宋_GB2312" w:cs="宋体"/>
                <w:kern w:val="0"/>
                <w:sz w:val="24"/>
              </w:rPr>
            </w:pPr>
          </w:p>
        </w:tc>
        <w:tc>
          <w:tcPr>
            <w:tcW w:w="12899" w:type="dxa"/>
            <w:tcBorders>
              <w:top w:val="nil"/>
              <w:left w:val="nil"/>
              <w:bottom w:val="single" w:color="auto" w:sz="4" w:space="0"/>
              <w:right w:val="single" w:color="auto" w:sz="4" w:space="0"/>
            </w:tcBorders>
            <w:shd w:val="clear" w:color="auto" w:fill="auto"/>
            <w:vAlign w:val="bottom"/>
          </w:tcPr>
          <w:p>
            <w:pPr>
              <w:widowControl/>
              <w:spacing w:line="280" w:lineRule="exact"/>
              <w:jc w:val="left"/>
              <w:rPr>
                <w:rFonts w:ascii="仿宋_GB2312" w:hAnsi="宋体" w:eastAsia="仿宋_GB2312" w:cs="宋体"/>
                <w:kern w:val="0"/>
                <w:sz w:val="24"/>
              </w:rPr>
            </w:pPr>
            <w:r>
              <w:rPr>
                <w:rFonts w:hint="eastAsia" w:ascii="仿宋_GB2312" w:hAnsi="宋体" w:eastAsia="仿宋_GB2312" w:cs="宋体"/>
                <w:kern w:val="0"/>
                <w:sz w:val="24"/>
              </w:rPr>
              <w:t>11.重组前连续12个月内有无与该重组相关的其他股权、资产交易,与该重组是否构成分步交易、是否作为一项企业重组业务进行处理情况的说明；</w:t>
            </w:r>
          </w:p>
        </w:tc>
      </w:tr>
      <w:tr>
        <w:tblPrEx>
          <w:tblCellMar>
            <w:top w:w="0" w:type="dxa"/>
            <w:left w:w="108" w:type="dxa"/>
            <w:bottom w:w="0" w:type="dxa"/>
            <w:right w:w="108" w:type="dxa"/>
          </w:tblCellMar>
        </w:tblPrEx>
        <w:trPr>
          <w:trHeight w:val="630" w:hRule="atLeast"/>
        </w:trPr>
        <w:tc>
          <w:tcPr>
            <w:tcW w:w="66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仿宋_GB2312" w:hAnsi="宋体" w:eastAsia="仿宋_GB2312" w:cs="宋体"/>
                <w:kern w:val="0"/>
                <w:sz w:val="24"/>
              </w:rPr>
            </w:pPr>
          </w:p>
        </w:tc>
        <w:tc>
          <w:tcPr>
            <w:tcW w:w="1198" w:type="dxa"/>
            <w:gridSpan w:val="2"/>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仿宋_GB2312" w:hAnsi="宋体" w:eastAsia="仿宋_GB2312" w:cs="宋体"/>
                <w:kern w:val="0"/>
                <w:sz w:val="24"/>
              </w:rPr>
            </w:pPr>
          </w:p>
        </w:tc>
        <w:tc>
          <w:tcPr>
            <w:tcW w:w="12899" w:type="dxa"/>
            <w:tcBorders>
              <w:top w:val="nil"/>
              <w:left w:val="nil"/>
              <w:bottom w:val="single" w:color="auto" w:sz="4" w:space="0"/>
              <w:right w:val="single" w:color="auto" w:sz="4" w:space="0"/>
            </w:tcBorders>
            <w:shd w:val="clear" w:color="auto" w:fill="auto"/>
            <w:vAlign w:val="bottom"/>
          </w:tcPr>
          <w:p>
            <w:pPr>
              <w:widowControl/>
              <w:spacing w:line="280" w:lineRule="exact"/>
              <w:jc w:val="left"/>
              <w:rPr>
                <w:rFonts w:ascii="仿宋_GB2312" w:hAnsi="宋体" w:eastAsia="仿宋_GB2312" w:cs="宋体"/>
                <w:kern w:val="0"/>
                <w:sz w:val="24"/>
              </w:rPr>
            </w:pPr>
            <w:r>
              <w:rPr>
                <w:rFonts w:hint="eastAsia" w:ascii="仿宋_GB2312" w:hAnsi="宋体" w:eastAsia="仿宋_GB2312" w:cs="宋体"/>
                <w:kern w:val="0"/>
                <w:sz w:val="24"/>
              </w:rPr>
              <w:t>12.按会计准则规定当期应确认资产（股权）转让损益的，应提供按税法规定核算的资产（股权）计税基础与按会计准则规定核算的相关资产（股权）账面价值的暂时性差异专项说明。</w:t>
            </w:r>
          </w:p>
        </w:tc>
      </w:tr>
      <w:tr>
        <w:tblPrEx>
          <w:tblCellMar>
            <w:top w:w="0" w:type="dxa"/>
            <w:left w:w="108" w:type="dxa"/>
            <w:bottom w:w="0" w:type="dxa"/>
            <w:right w:w="108" w:type="dxa"/>
          </w:tblCellMar>
        </w:tblPrEx>
        <w:trPr>
          <w:trHeight w:val="402" w:hRule="atLeast"/>
        </w:trPr>
        <w:tc>
          <w:tcPr>
            <w:tcW w:w="66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仿宋_GB2312" w:hAnsi="宋体" w:eastAsia="仿宋_GB2312" w:cs="宋体"/>
                <w:kern w:val="0"/>
                <w:sz w:val="24"/>
              </w:rPr>
            </w:pPr>
            <w:r>
              <w:rPr>
                <w:rFonts w:hint="eastAsia" w:ascii="仿宋_GB2312" w:hAnsi="宋体" w:eastAsia="仿宋_GB2312" w:cs="宋体"/>
                <w:kern w:val="0"/>
                <w:sz w:val="24"/>
              </w:rPr>
              <w:t>分立</w:t>
            </w:r>
          </w:p>
        </w:tc>
        <w:tc>
          <w:tcPr>
            <w:tcW w:w="1198" w:type="dxa"/>
            <w:gridSpan w:val="2"/>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仿宋_GB2312" w:hAnsi="宋体" w:eastAsia="仿宋_GB2312" w:cs="宋体"/>
                <w:kern w:val="0"/>
                <w:sz w:val="24"/>
              </w:rPr>
            </w:pPr>
            <w:r>
              <w:rPr>
                <w:rFonts w:hint="eastAsia" w:ascii="仿宋_GB2312" w:hAnsi="宋体" w:eastAsia="仿宋_GB2312" w:cs="宋体"/>
                <w:kern w:val="0"/>
                <w:sz w:val="24"/>
              </w:rPr>
              <w:t>当事各方</w:t>
            </w:r>
          </w:p>
        </w:tc>
        <w:tc>
          <w:tcPr>
            <w:tcW w:w="12899" w:type="dxa"/>
            <w:tcBorders>
              <w:top w:val="nil"/>
              <w:left w:val="nil"/>
              <w:bottom w:val="single" w:color="auto" w:sz="4" w:space="0"/>
              <w:right w:val="single" w:color="auto" w:sz="4" w:space="0"/>
            </w:tcBorders>
            <w:shd w:val="clear" w:color="auto" w:fill="auto"/>
            <w:vAlign w:val="bottom"/>
          </w:tcPr>
          <w:p>
            <w:pPr>
              <w:widowControl/>
              <w:spacing w:line="280" w:lineRule="exact"/>
              <w:jc w:val="left"/>
              <w:rPr>
                <w:rFonts w:ascii="仿宋_GB2312" w:hAnsi="宋体" w:eastAsia="仿宋_GB2312" w:cs="宋体"/>
                <w:kern w:val="0"/>
                <w:sz w:val="24"/>
              </w:rPr>
            </w:pPr>
            <w:r>
              <w:rPr>
                <w:rFonts w:hint="eastAsia" w:ascii="仿宋_GB2312" w:hAnsi="宋体" w:eastAsia="仿宋_GB2312" w:cs="宋体"/>
                <w:kern w:val="0"/>
                <w:sz w:val="24"/>
              </w:rPr>
              <w:t>1.企业分立的总体情况说明，包括分立方案、基本情况，并逐条说明企业分立的商业目的；</w:t>
            </w:r>
          </w:p>
        </w:tc>
      </w:tr>
      <w:tr>
        <w:tblPrEx>
          <w:tblCellMar>
            <w:top w:w="0" w:type="dxa"/>
            <w:left w:w="108" w:type="dxa"/>
            <w:bottom w:w="0" w:type="dxa"/>
            <w:right w:w="108" w:type="dxa"/>
          </w:tblCellMar>
        </w:tblPrEx>
        <w:trPr>
          <w:trHeight w:val="402" w:hRule="atLeast"/>
        </w:trPr>
        <w:tc>
          <w:tcPr>
            <w:tcW w:w="66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仿宋_GB2312" w:hAnsi="宋体" w:eastAsia="仿宋_GB2312" w:cs="宋体"/>
                <w:kern w:val="0"/>
                <w:sz w:val="24"/>
              </w:rPr>
            </w:pPr>
          </w:p>
        </w:tc>
        <w:tc>
          <w:tcPr>
            <w:tcW w:w="1198" w:type="dxa"/>
            <w:gridSpan w:val="2"/>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仿宋_GB2312" w:hAnsi="宋体" w:eastAsia="仿宋_GB2312" w:cs="宋体"/>
                <w:kern w:val="0"/>
                <w:sz w:val="24"/>
              </w:rPr>
            </w:pPr>
          </w:p>
        </w:tc>
        <w:tc>
          <w:tcPr>
            <w:tcW w:w="12899" w:type="dxa"/>
            <w:tcBorders>
              <w:top w:val="nil"/>
              <w:left w:val="nil"/>
              <w:bottom w:val="single" w:color="auto" w:sz="4" w:space="0"/>
              <w:right w:val="single" w:color="auto" w:sz="4" w:space="0"/>
            </w:tcBorders>
            <w:shd w:val="clear" w:color="auto" w:fill="auto"/>
            <w:vAlign w:val="bottom"/>
          </w:tcPr>
          <w:p>
            <w:pPr>
              <w:widowControl/>
              <w:spacing w:line="280" w:lineRule="exact"/>
              <w:jc w:val="left"/>
              <w:rPr>
                <w:rFonts w:ascii="仿宋_GB2312" w:hAnsi="宋体" w:eastAsia="仿宋_GB2312" w:cs="宋体"/>
                <w:kern w:val="0"/>
                <w:sz w:val="24"/>
              </w:rPr>
            </w:pPr>
            <w:r>
              <w:rPr>
                <w:rFonts w:hint="eastAsia" w:ascii="仿宋_GB2312" w:hAnsi="宋体" w:eastAsia="仿宋_GB2312" w:cs="宋体"/>
                <w:kern w:val="0"/>
                <w:sz w:val="24"/>
              </w:rPr>
              <w:t>2.被分立企业董事会、股东会(股东大会)关于企业分立的决议，需有权部门（包括内部和外部）批准的，应提供批准文件；</w:t>
            </w:r>
          </w:p>
        </w:tc>
      </w:tr>
      <w:tr>
        <w:tblPrEx>
          <w:tblCellMar>
            <w:top w:w="0" w:type="dxa"/>
            <w:left w:w="108" w:type="dxa"/>
            <w:bottom w:w="0" w:type="dxa"/>
            <w:right w:w="108" w:type="dxa"/>
          </w:tblCellMar>
        </w:tblPrEx>
        <w:trPr>
          <w:trHeight w:val="360" w:hRule="atLeast"/>
        </w:trPr>
        <w:tc>
          <w:tcPr>
            <w:tcW w:w="66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仿宋_GB2312" w:hAnsi="宋体" w:eastAsia="仿宋_GB2312" w:cs="宋体"/>
                <w:kern w:val="0"/>
                <w:sz w:val="24"/>
              </w:rPr>
            </w:pPr>
          </w:p>
        </w:tc>
        <w:tc>
          <w:tcPr>
            <w:tcW w:w="1198" w:type="dxa"/>
            <w:gridSpan w:val="2"/>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仿宋_GB2312" w:hAnsi="宋体" w:eastAsia="仿宋_GB2312" w:cs="宋体"/>
                <w:kern w:val="0"/>
                <w:sz w:val="24"/>
              </w:rPr>
            </w:pPr>
          </w:p>
        </w:tc>
        <w:tc>
          <w:tcPr>
            <w:tcW w:w="12899" w:type="dxa"/>
            <w:tcBorders>
              <w:top w:val="nil"/>
              <w:left w:val="nil"/>
              <w:bottom w:val="single" w:color="auto" w:sz="4" w:space="0"/>
              <w:right w:val="single" w:color="auto" w:sz="4" w:space="0"/>
            </w:tcBorders>
            <w:shd w:val="clear" w:color="auto" w:fill="auto"/>
            <w:vAlign w:val="bottom"/>
          </w:tcPr>
          <w:p>
            <w:pPr>
              <w:widowControl/>
              <w:spacing w:line="280" w:lineRule="exact"/>
              <w:jc w:val="left"/>
              <w:rPr>
                <w:rFonts w:ascii="仿宋_GB2312" w:hAnsi="宋体" w:eastAsia="仿宋_GB2312" w:cs="宋体"/>
                <w:kern w:val="0"/>
                <w:sz w:val="24"/>
              </w:rPr>
            </w:pPr>
            <w:r>
              <w:rPr>
                <w:rFonts w:hint="eastAsia" w:ascii="仿宋_GB2312" w:hAnsi="宋体" w:eastAsia="仿宋_GB2312" w:cs="宋体"/>
                <w:kern w:val="0"/>
                <w:sz w:val="24"/>
              </w:rPr>
              <w:t>3.被分立企业的净资产、各单项资产和负债账面价值和计税基础等相关资料；</w:t>
            </w:r>
          </w:p>
        </w:tc>
      </w:tr>
      <w:tr>
        <w:tblPrEx>
          <w:tblCellMar>
            <w:top w:w="0" w:type="dxa"/>
            <w:left w:w="108" w:type="dxa"/>
            <w:bottom w:w="0" w:type="dxa"/>
            <w:right w:w="108" w:type="dxa"/>
          </w:tblCellMar>
        </w:tblPrEx>
        <w:trPr>
          <w:trHeight w:val="360" w:hRule="atLeast"/>
        </w:trPr>
        <w:tc>
          <w:tcPr>
            <w:tcW w:w="66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仿宋_GB2312" w:hAnsi="宋体" w:eastAsia="仿宋_GB2312" w:cs="宋体"/>
                <w:kern w:val="0"/>
                <w:sz w:val="24"/>
              </w:rPr>
            </w:pPr>
          </w:p>
        </w:tc>
        <w:tc>
          <w:tcPr>
            <w:tcW w:w="1198" w:type="dxa"/>
            <w:gridSpan w:val="2"/>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仿宋_GB2312" w:hAnsi="宋体" w:eastAsia="仿宋_GB2312" w:cs="宋体"/>
                <w:kern w:val="0"/>
                <w:sz w:val="24"/>
              </w:rPr>
            </w:pPr>
          </w:p>
        </w:tc>
        <w:tc>
          <w:tcPr>
            <w:tcW w:w="12899" w:type="dxa"/>
            <w:tcBorders>
              <w:top w:val="nil"/>
              <w:left w:val="nil"/>
              <w:bottom w:val="single" w:color="auto" w:sz="4" w:space="0"/>
              <w:right w:val="single" w:color="auto" w:sz="4" w:space="0"/>
            </w:tcBorders>
            <w:shd w:val="clear" w:color="auto" w:fill="auto"/>
            <w:vAlign w:val="bottom"/>
          </w:tcPr>
          <w:p>
            <w:pPr>
              <w:widowControl/>
              <w:spacing w:line="280" w:lineRule="exact"/>
              <w:jc w:val="left"/>
              <w:rPr>
                <w:rFonts w:ascii="仿宋_GB2312" w:hAnsi="宋体" w:eastAsia="仿宋_GB2312" w:cs="宋体"/>
                <w:kern w:val="0"/>
                <w:sz w:val="24"/>
              </w:rPr>
            </w:pPr>
            <w:r>
              <w:rPr>
                <w:rFonts w:hint="eastAsia" w:ascii="仿宋_GB2312" w:hAnsi="宋体" w:eastAsia="仿宋_GB2312" w:cs="宋体"/>
                <w:kern w:val="0"/>
                <w:sz w:val="24"/>
              </w:rPr>
              <w:t>4.12个月内不改变资产原来的实质性经营活动、原主要股东不转让所取得股权的承诺书；</w:t>
            </w:r>
          </w:p>
        </w:tc>
      </w:tr>
      <w:tr>
        <w:tblPrEx>
          <w:tblCellMar>
            <w:top w:w="0" w:type="dxa"/>
            <w:left w:w="108" w:type="dxa"/>
            <w:bottom w:w="0" w:type="dxa"/>
            <w:right w:w="108" w:type="dxa"/>
          </w:tblCellMar>
        </w:tblPrEx>
        <w:trPr>
          <w:trHeight w:val="402" w:hRule="atLeast"/>
        </w:trPr>
        <w:tc>
          <w:tcPr>
            <w:tcW w:w="66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仿宋_GB2312" w:hAnsi="宋体" w:eastAsia="仿宋_GB2312" w:cs="宋体"/>
                <w:kern w:val="0"/>
                <w:sz w:val="24"/>
              </w:rPr>
            </w:pPr>
          </w:p>
        </w:tc>
        <w:tc>
          <w:tcPr>
            <w:tcW w:w="1198" w:type="dxa"/>
            <w:gridSpan w:val="2"/>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仿宋_GB2312" w:hAnsi="宋体" w:eastAsia="仿宋_GB2312" w:cs="宋体"/>
                <w:kern w:val="0"/>
                <w:sz w:val="24"/>
              </w:rPr>
            </w:pPr>
          </w:p>
        </w:tc>
        <w:tc>
          <w:tcPr>
            <w:tcW w:w="12899" w:type="dxa"/>
            <w:tcBorders>
              <w:top w:val="nil"/>
              <w:left w:val="nil"/>
              <w:bottom w:val="single" w:color="auto" w:sz="4" w:space="0"/>
              <w:right w:val="single" w:color="auto" w:sz="4" w:space="0"/>
            </w:tcBorders>
            <w:shd w:val="clear" w:color="auto" w:fill="auto"/>
            <w:vAlign w:val="bottom"/>
          </w:tcPr>
          <w:p>
            <w:pPr>
              <w:widowControl/>
              <w:spacing w:line="280" w:lineRule="exact"/>
              <w:jc w:val="left"/>
              <w:rPr>
                <w:rFonts w:ascii="仿宋_GB2312" w:hAnsi="宋体" w:eastAsia="仿宋_GB2312" w:cs="宋体"/>
                <w:kern w:val="0"/>
                <w:sz w:val="24"/>
              </w:rPr>
            </w:pPr>
            <w:r>
              <w:rPr>
                <w:rFonts w:hint="eastAsia" w:ascii="仿宋_GB2312" w:hAnsi="宋体" w:eastAsia="仿宋_GB2312" w:cs="宋体"/>
                <w:kern w:val="0"/>
                <w:sz w:val="24"/>
              </w:rPr>
              <w:t>5.工商管理部门等有权机关认定的分立和被分立企业股东股权比例证明材料；分立后，分立和被分立企业工商营业执照复印件；</w:t>
            </w:r>
          </w:p>
        </w:tc>
      </w:tr>
      <w:tr>
        <w:tblPrEx>
          <w:tblCellMar>
            <w:top w:w="0" w:type="dxa"/>
            <w:left w:w="108" w:type="dxa"/>
            <w:bottom w:w="0" w:type="dxa"/>
            <w:right w:w="108" w:type="dxa"/>
          </w:tblCellMar>
        </w:tblPrEx>
        <w:trPr>
          <w:trHeight w:val="405" w:hRule="atLeast"/>
        </w:trPr>
        <w:tc>
          <w:tcPr>
            <w:tcW w:w="66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仿宋_GB2312" w:hAnsi="宋体" w:eastAsia="仿宋_GB2312" w:cs="宋体"/>
                <w:kern w:val="0"/>
                <w:sz w:val="24"/>
              </w:rPr>
            </w:pPr>
          </w:p>
        </w:tc>
        <w:tc>
          <w:tcPr>
            <w:tcW w:w="1198" w:type="dxa"/>
            <w:gridSpan w:val="2"/>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仿宋_GB2312" w:hAnsi="宋体" w:eastAsia="仿宋_GB2312" w:cs="宋体"/>
                <w:kern w:val="0"/>
                <w:sz w:val="24"/>
              </w:rPr>
            </w:pPr>
          </w:p>
        </w:tc>
        <w:tc>
          <w:tcPr>
            <w:tcW w:w="12899" w:type="dxa"/>
            <w:tcBorders>
              <w:top w:val="nil"/>
              <w:left w:val="nil"/>
              <w:bottom w:val="single" w:color="auto" w:sz="4" w:space="0"/>
              <w:right w:val="single" w:color="auto" w:sz="4" w:space="0"/>
            </w:tcBorders>
            <w:shd w:val="clear" w:color="auto" w:fill="auto"/>
            <w:vAlign w:val="bottom"/>
          </w:tcPr>
          <w:p>
            <w:pPr>
              <w:widowControl/>
              <w:spacing w:line="280" w:lineRule="exact"/>
              <w:jc w:val="left"/>
              <w:rPr>
                <w:rFonts w:ascii="仿宋_GB2312" w:hAnsi="宋体" w:eastAsia="仿宋_GB2312" w:cs="宋体"/>
                <w:kern w:val="0"/>
                <w:sz w:val="24"/>
              </w:rPr>
            </w:pPr>
            <w:r>
              <w:rPr>
                <w:rFonts w:hint="eastAsia" w:ascii="仿宋_GB2312" w:hAnsi="宋体" w:eastAsia="仿宋_GB2312" w:cs="宋体"/>
                <w:kern w:val="0"/>
                <w:sz w:val="24"/>
              </w:rPr>
              <w:t>6.重组当事各方一致选择特殊性税务处理并加盖当事各方公章的证明资料；</w:t>
            </w:r>
          </w:p>
        </w:tc>
      </w:tr>
      <w:tr>
        <w:tblPrEx>
          <w:tblCellMar>
            <w:top w:w="0" w:type="dxa"/>
            <w:left w:w="108" w:type="dxa"/>
            <w:bottom w:w="0" w:type="dxa"/>
            <w:right w:w="108" w:type="dxa"/>
          </w:tblCellMar>
        </w:tblPrEx>
        <w:trPr>
          <w:trHeight w:val="375" w:hRule="atLeast"/>
        </w:trPr>
        <w:tc>
          <w:tcPr>
            <w:tcW w:w="66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仿宋_GB2312" w:hAnsi="宋体" w:eastAsia="仿宋_GB2312" w:cs="宋体"/>
                <w:kern w:val="0"/>
                <w:sz w:val="24"/>
              </w:rPr>
            </w:pPr>
          </w:p>
        </w:tc>
        <w:tc>
          <w:tcPr>
            <w:tcW w:w="1198" w:type="dxa"/>
            <w:gridSpan w:val="2"/>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仿宋_GB2312" w:hAnsi="宋体" w:eastAsia="仿宋_GB2312" w:cs="宋体"/>
                <w:kern w:val="0"/>
                <w:sz w:val="24"/>
              </w:rPr>
            </w:pPr>
          </w:p>
        </w:tc>
        <w:tc>
          <w:tcPr>
            <w:tcW w:w="12899" w:type="dxa"/>
            <w:tcBorders>
              <w:top w:val="nil"/>
              <w:left w:val="nil"/>
              <w:bottom w:val="single" w:color="auto" w:sz="4" w:space="0"/>
              <w:right w:val="single" w:color="auto" w:sz="4" w:space="0"/>
            </w:tcBorders>
            <w:shd w:val="clear" w:color="auto" w:fill="auto"/>
            <w:vAlign w:val="bottom"/>
          </w:tcPr>
          <w:p>
            <w:pPr>
              <w:widowControl/>
              <w:spacing w:line="280" w:lineRule="exact"/>
              <w:jc w:val="left"/>
              <w:rPr>
                <w:rFonts w:ascii="仿宋_GB2312" w:hAnsi="宋体" w:eastAsia="仿宋_GB2312" w:cs="宋体"/>
                <w:kern w:val="0"/>
                <w:sz w:val="24"/>
              </w:rPr>
            </w:pPr>
            <w:r>
              <w:rPr>
                <w:rFonts w:hint="eastAsia" w:ascii="仿宋_GB2312" w:hAnsi="宋体" w:eastAsia="仿宋_GB2312" w:cs="宋体"/>
                <w:kern w:val="0"/>
                <w:sz w:val="24"/>
              </w:rPr>
              <w:t>7.涉及非货币性资产支付的，应提供非货币性资产评估报告或其他公允价值证明；</w:t>
            </w:r>
          </w:p>
        </w:tc>
      </w:tr>
      <w:tr>
        <w:tblPrEx>
          <w:tblCellMar>
            <w:top w:w="0" w:type="dxa"/>
            <w:left w:w="108" w:type="dxa"/>
            <w:bottom w:w="0" w:type="dxa"/>
            <w:right w:w="108" w:type="dxa"/>
          </w:tblCellMar>
        </w:tblPrEx>
        <w:trPr>
          <w:trHeight w:val="615" w:hRule="atLeast"/>
        </w:trPr>
        <w:tc>
          <w:tcPr>
            <w:tcW w:w="66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仿宋_GB2312" w:hAnsi="宋体" w:eastAsia="仿宋_GB2312" w:cs="宋体"/>
                <w:kern w:val="0"/>
                <w:sz w:val="24"/>
              </w:rPr>
            </w:pPr>
          </w:p>
        </w:tc>
        <w:tc>
          <w:tcPr>
            <w:tcW w:w="1198" w:type="dxa"/>
            <w:gridSpan w:val="2"/>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仿宋_GB2312" w:hAnsi="宋体" w:eastAsia="仿宋_GB2312" w:cs="宋体"/>
                <w:kern w:val="0"/>
                <w:sz w:val="24"/>
              </w:rPr>
            </w:pPr>
          </w:p>
        </w:tc>
        <w:tc>
          <w:tcPr>
            <w:tcW w:w="12899" w:type="dxa"/>
            <w:tcBorders>
              <w:top w:val="nil"/>
              <w:left w:val="nil"/>
              <w:bottom w:val="single" w:color="auto" w:sz="4" w:space="0"/>
              <w:right w:val="single" w:color="auto" w:sz="4" w:space="0"/>
            </w:tcBorders>
            <w:shd w:val="clear" w:color="auto" w:fill="auto"/>
            <w:vAlign w:val="bottom"/>
          </w:tcPr>
          <w:p>
            <w:pPr>
              <w:widowControl/>
              <w:spacing w:line="280" w:lineRule="exact"/>
              <w:jc w:val="left"/>
              <w:rPr>
                <w:rFonts w:ascii="仿宋_GB2312" w:hAnsi="宋体" w:eastAsia="仿宋_GB2312" w:cs="宋体"/>
                <w:kern w:val="0"/>
                <w:sz w:val="24"/>
              </w:rPr>
            </w:pPr>
            <w:r>
              <w:rPr>
                <w:rFonts w:hint="eastAsia" w:ascii="仿宋_GB2312" w:hAnsi="宋体" w:eastAsia="仿宋_GB2312" w:cs="宋体"/>
                <w:kern w:val="0"/>
                <w:sz w:val="24"/>
              </w:rPr>
              <w:t>8.分立企业承继被分立企业所分立资产相关所得税事项（包括尚未确认的资产损失、分期确认收入和尚未享受期满的税收优惠政策等）情况说明；</w:t>
            </w:r>
          </w:p>
        </w:tc>
      </w:tr>
      <w:tr>
        <w:tblPrEx>
          <w:tblCellMar>
            <w:top w:w="0" w:type="dxa"/>
            <w:left w:w="108" w:type="dxa"/>
            <w:bottom w:w="0" w:type="dxa"/>
            <w:right w:w="108" w:type="dxa"/>
          </w:tblCellMar>
        </w:tblPrEx>
        <w:trPr>
          <w:trHeight w:val="555" w:hRule="atLeast"/>
        </w:trPr>
        <w:tc>
          <w:tcPr>
            <w:tcW w:w="66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仿宋_GB2312" w:hAnsi="宋体" w:eastAsia="仿宋_GB2312" w:cs="宋体"/>
                <w:kern w:val="0"/>
                <w:sz w:val="24"/>
              </w:rPr>
            </w:pPr>
          </w:p>
        </w:tc>
        <w:tc>
          <w:tcPr>
            <w:tcW w:w="1198" w:type="dxa"/>
            <w:gridSpan w:val="2"/>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仿宋_GB2312" w:hAnsi="宋体" w:eastAsia="仿宋_GB2312" w:cs="宋体"/>
                <w:kern w:val="0"/>
                <w:sz w:val="24"/>
              </w:rPr>
            </w:pPr>
          </w:p>
        </w:tc>
        <w:tc>
          <w:tcPr>
            <w:tcW w:w="12899" w:type="dxa"/>
            <w:tcBorders>
              <w:top w:val="nil"/>
              <w:left w:val="nil"/>
              <w:bottom w:val="single" w:color="auto" w:sz="4" w:space="0"/>
              <w:right w:val="single" w:color="auto" w:sz="4" w:space="0"/>
            </w:tcBorders>
            <w:shd w:val="clear" w:color="auto" w:fill="auto"/>
            <w:vAlign w:val="bottom"/>
          </w:tcPr>
          <w:p>
            <w:pPr>
              <w:widowControl/>
              <w:spacing w:line="280" w:lineRule="exact"/>
              <w:jc w:val="left"/>
              <w:rPr>
                <w:rFonts w:ascii="仿宋_GB2312" w:hAnsi="宋体" w:eastAsia="仿宋_GB2312" w:cs="宋体"/>
                <w:kern w:val="0"/>
                <w:sz w:val="24"/>
              </w:rPr>
            </w:pPr>
            <w:r>
              <w:rPr>
                <w:rFonts w:hint="eastAsia" w:ascii="仿宋_GB2312" w:hAnsi="宋体" w:eastAsia="仿宋_GB2312" w:cs="宋体"/>
                <w:kern w:val="0"/>
                <w:sz w:val="24"/>
              </w:rPr>
              <w:t>9.若被分立企业尚有未超过法定弥补期限的亏损，应提供亏损弥补情况说明、被分立企业重组前净资产和分立资产公允价值的证明材料；</w:t>
            </w:r>
          </w:p>
        </w:tc>
      </w:tr>
      <w:tr>
        <w:tblPrEx>
          <w:tblCellMar>
            <w:top w:w="0" w:type="dxa"/>
            <w:left w:w="108" w:type="dxa"/>
            <w:bottom w:w="0" w:type="dxa"/>
            <w:right w:w="108" w:type="dxa"/>
          </w:tblCellMar>
        </w:tblPrEx>
        <w:trPr>
          <w:trHeight w:val="600" w:hRule="atLeast"/>
        </w:trPr>
        <w:tc>
          <w:tcPr>
            <w:tcW w:w="66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仿宋_GB2312" w:hAnsi="宋体" w:eastAsia="仿宋_GB2312" w:cs="宋体"/>
                <w:kern w:val="0"/>
                <w:sz w:val="24"/>
              </w:rPr>
            </w:pPr>
          </w:p>
        </w:tc>
        <w:tc>
          <w:tcPr>
            <w:tcW w:w="1198" w:type="dxa"/>
            <w:gridSpan w:val="2"/>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仿宋_GB2312" w:hAnsi="宋体" w:eastAsia="仿宋_GB2312" w:cs="宋体"/>
                <w:kern w:val="0"/>
                <w:sz w:val="24"/>
              </w:rPr>
            </w:pPr>
          </w:p>
        </w:tc>
        <w:tc>
          <w:tcPr>
            <w:tcW w:w="12899" w:type="dxa"/>
            <w:tcBorders>
              <w:top w:val="nil"/>
              <w:left w:val="nil"/>
              <w:bottom w:val="single" w:color="auto" w:sz="4" w:space="0"/>
              <w:right w:val="single" w:color="auto" w:sz="4" w:space="0"/>
            </w:tcBorders>
            <w:shd w:val="clear" w:color="auto" w:fill="auto"/>
            <w:vAlign w:val="bottom"/>
          </w:tcPr>
          <w:p>
            <w:pPr>
              <w:widowControl/>
              <w:spacing w:line="280" w:lineRule="exact"/>
              <w:jc w:val="left"/>
              <w:rPr>
                <w:rFonts w:ascii="仿宋_GB2312" w:hAnsi="宋体" w:eastAsia="仿宋_GB2312" w:cs="宋体"/>
                <w:kern w:val="0"/>
                <w:sz w:val="24"/>
              </w:rPr>
            </w:pPr>
            <w:r>
              <w:rPr>
                <w:rFonts w:hint="eastAsia" w:ascii="仿宋_GB2312" w:hAnsi="宋体" w:eastAsia="仿宋_GB2312" w:cs="宋体"/>
                <w:kern w:val="0"/>
                <w:sz w:val="24"/>
              </w:rPr>
              <w:t>10.重组前连续12个月内有无与该重组相关的其他股权、资产交易,与该重组是否构成分步交易、是否作为一项企业重组业务进行处理情况的说明；</w:t>
            </w:r>
          </w:p>
        </w:tc>
      </w:tr>
      <w:tr>
        <w:tblPrEx>
          <w:tblCellMar>
            <w:top w:w="0" w:type="dxa"/>
            <w:left w:w="108" w:type="dxa"/>
            <w:bottom w:w="0" w:type="dxa"/>
            <w:right w:w="108" w:type="dxa"/>
          </w:tblCellMar>
        </w:tblPrEx>
        <w:trPr>
          <w:trHeight w:val="570" w:hRule="atLeast"/>
        </w:trPr>
        <w:tc>
          <w:tcPr>
            <w:tcW w:w="66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仿宋_GB2312" w:hAnsi="宋体" w:eastAsia="仿宋_GB2312" w:cs="宋体"/>
                <w:kern w:val="0"/>
                <w:sz w:val="24"/>
              </w:rPr>
            </w:pPr>
          </w:p>
        </w:tc>
        <w:tc>
          <w:tcPr>
            <w:tcW w:w="1198" w:type="dxa"/>
            <w:gridSpan w:val="2"/>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仿宋_GB2312" w:hAnsi="宋体" w:eastAsia="仿宋_GB2312" w:cs="宋体"/>
                <w:kern w:val="0"/>
                <w:sz w:val="24"/>
              </w:rPr>
            </w:pPr>
          </w:p>
        </w:tc>
        <w:tc>
          <w:tcPr>
            <w:tcW w:w="12899" w:type="dxa"/>
            <w:tcBorders>
              <w:top w:val="nil"/>
              <w:left w:val="nil"/>
              <w:bottom w:val="single" w:color="auto" w:sz="4" w:space="0"/>
              <w:right w:val="single" w:color="auto" w:sz="4" w:space="0"/>
            </w:tcBorders>
            <w:shd w:val="clear" w:color="auto" w:fill="auto"/>
            <w:vAlign w:val="bottom"/>
          </w:tcPr>
          <w:p>
            <w:pPr>
              <w:widowControl/>
              <w:spacing w:line="280" w:lineRule="exact"/>
              <w:jc w:val="left"/>
              <w:rPr>
                <w:rFonts w:ascii="仿宋_GB2312" w:hAnsi="宋体" w:eastAsia="仿宋_GB2312" w:cs="宋体"/>
                <w:kern w:val="0"/>
                <w:sz w:val="24"/>
              </w:rPr>
            </w:pPr>
            <w:r>
              <w:rPr>
                <w:rFonts w:hint="eastAsia" w:ascii="仿宋_GB2312" w:hAnsi="宋体" w:eastAsia="仿宋_GB2312" w:cs="宋体"/>
                <w:kern w:val="0"/>
                <w:sz w:val="24"/>
              </w:rPr>
              <w:t>11.按会计准则规定当期应确认资产（股权）转让损益的，应提供按税法规定核算的资产（股权）计税基础与按会计准则规定核算的相关资产（股权）账面价值的暂时性差异专项说明。</w:t>
            </w:r>
          </w:p>
        </w:tc>
      </w:tr>
    </w:tbl>
    <w:p/>
    <w:sectPr>
      <w:footerReference r:id="rId3" w:type="default"/>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p>
  <w:p>
    <w:pPr>
      <w:pStyle w:val="2"/>
      <w:jc w:val="cen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0187C"/>
    <w:rsid w:val="00014B1E"/>
    <w:rsid w:val="000C6249"/>
    <w:rsid w:val="00251C64"/>
    <w:rsid w:val="00423161"/>
    <w:rsid w:val="009B14B8"/>
    <w:rsid w:val="00D0187C"/>
    <w:rsid w:val="00E24D07"/>
    <w:rsid w:val="00E572EF"/>
    <w:rsid w:val="00F928D8"/>
    <w:rsid w:val="6DED66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sz w:val="18"/>
      <w:szCs w:val="18"/>
    </w:rPr>
  </w:style>
  <w:style w:type="character" w:customStyle="1" w:styleId="7">
    <w:name w:val="页脚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406</Words>
  <Characters>2317</Characters>
  <Lines>19</Lines>
  <Paragraphs>5</Paragraphs>
  <TotalTime>7</TotalTime>
  <ScaleCrop>false</ScaleCrop>
  <LinksUpToDate>false</LinksUpToDate>
  <CharactersWithSpaces>2718</CharactersWithSpaces>
  <Application>WPS Office_11.8.2.10158_F1E327BC-269C-435d-A152-05C5408002CA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2018-04-02T07:44:00Z</dcterms:created>
  <dc:creator> </dc:creator>
  <cp:lastModifiedBy>王允希</cp:lastModifiedBy>
  <dcterms:modified xsi:type="dcterms:W3CDTF">2022-04-12T07:12:20Z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2052-11.8.2.10158</vt:lpwstr>
  </property>
</Properties>
</file>