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bookmarkStart w:id="3" w:name="_GoBack"/>
      <w:bookmarkEnd w:id="3"/>
      <w:r>
        <w:rPr>
          <w:rFonts w:hint="eastAsia" w:ascii="黑体" w:hAnsi="黑体" w:eastAsia="黑体"/>
          <w:sz w:val="32"/>
          <w:szCs w:val="32"/>
        </w:rPr>
        <w:t>（1）</w:t>
      </w:r>
    </w:p>
    <w:tbl>
      <w:tblPr>
        <w:tblStyle w:val="17"/>
        <w:tblW w:w="10366" w:type="dxa"/>
        <w:tblInd w:w="-76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1"/>
        <w:gridCol w:w="2499"/>
        <w:gridCol w:w="2100"/>
        <w:gridCol w:w="1950"/>
        <w:gridCol w:w="252"/>
        <w:gridCol w:w="17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366" w:type="dxa"/>
            <w:gridSpan w:val="7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企业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重组所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得税特殊性税务处理报告表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纳税人名称（盖章）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纳税人识别号</w:t>
            </w:r>
          </w:p>
        </w:tc>
        <w:tc>
          <w:tcPr>
            <w:tcW w:w="3906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单位地址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财务负责人</w:t>
            </w:r>
          </w:p>
        </w:tc>
        <w:tc>
          <w:tcPr>
            <w:tcW w:w="3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主管税务机关（全称）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3906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366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重组日：          重组业务开始年度：         重组业务完成年度：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861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重组交易类型</w:t>
            </w:r>
          </w:p>
        </w:tc>
        <w:tc>
          <w:tcPr>
            <w:tcW w:w="8505" w:type="dxa"/>
            <w:gridSpan w:val="5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企业在重组业务中所属当事方类型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861" w:type="dxa"/>
            <w:gridSpan w:val="2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□法律形式改变</w:t>
            </w:r>
          </w:p>
        </w:tc>
        <w:tc>
          <w:tcPr>
            <w:tcW w:w="8505" w:type="dxa"/>
            <w:gridSpan w:val="5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861" w:type="dxa"/>
            <w:gridSpan w:val="2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□债务重组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□债务人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□债权人</w:t>
            </w:r>
          </w:p>
        </w:tc>
        <w:tc>
          <w:tcPr>
            <w:tcW w:w="3906" w:type="dxa"/>
            <w:gridSpan w:val="3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861" w:type="dxa"/>
            <w:gridSpan w:val="2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□股权收购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□收购方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□转让方</w:t>
            </w:r>
          </w:p>
        </w:tc>
        <w:tc>
          <w:tcPr>
            <w:tcW w:w="3906" w:type="dxa"/>
            <w:gridSpan w:val="3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□被收购企业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861" w:type="dxa"/>
            <w:gridSpan w:val="2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□资产收购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□收购方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□转让方</w:t>
            </w:r>
          </w:p>
        </w:tc>
        <w:tc>
          <w:tcPr>
            <w:tcW w:w="3906" w:type="dxa"/>
            <w:gridSpan w:val="3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861" w:type="dxa"/>
            <w:gridSpan w:val="2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□合并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□合并企业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□被合并企业</w:t>
            </w:r>
          </w:p>
        </w:tc>
        <w:tc>
          <w:tcPr>
            <w:tcW w:w="220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□被合并企业股东</w:t>
            </w:r>
          </w:p>
        </w:tc>
        <w:tc>
          <w:tcPr>
            <w:tcW w:w="1704" w:type="dxa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华文仿宋" w:hAnsi="华文仿宋" w:eastAsia="华文仿宋" w:cs="宋体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6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□分立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□分立企业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□被分立企业</w:t>
            </w:r>
          </w:p>
        </w:tc>
        <w:tc>
          <w:tcPr>
            <w:tcW w:w="2202" w:type="dxa"/>
            <w:gridSpan w:val="2"/>
            <w:tcBorders>
              <w:top w:val="nil"/>
              <w:left w:val="nil"/>
              <w:bottom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□被分立企业股东</w:t>
            </w:r>
          </w:p>
        </w:tc>
        <w:tc>
          <w:tcPr>
            <w:tcW w:w="1704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华文仿宋" w:hAnsi="华文仿宋" w:eastAsia="华文仿宋" w:cs="宋体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861" w:type="dxa"/>
            <w:gridSpan w:val="2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特殊性税务处理条件</w:t>
            </w:r>
          </w:p>
        </w:tc>
        <w:tc>
          <w:tcPr>
            <w:tcW w:w="6801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（一）具有合理的商业目的，且不以减少、免除或者推迟缴纳税款为主要目的。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华文仿宋" w:hAnsi="华文仿宋" w:eastAsia="华文仿宋" w:cs="宋体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861" w:type="dxa"/>
            <w:gridSpan w:val="2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68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（二）被收购、合并或分立部分的资产或股权比例符合规定的比例。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华文仿宋" w:hAnsi="华文仿宋" w:eastAsia="华文仿宋" w:cs="宋体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</w:rPr>
              <w:t>□比例    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861" w:type="dxa"/>
            <w:gridSpan w:val="2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68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（三）企业重组后的连续12个月内不改变重组资产原来的实质性经营活动。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华文仿宋" w:hAnsi="华文仿宋" w:eastAsia="华文仿宋" w:cs="宋体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861" w:type="dxa"/>
            <w:gridSpan w:val="2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68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（四）重组交易对价中涉及股权支付金额符合规定比例。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华文仿宋" w:hAnsi="华文仿宋" w:eastAsia="华文仿宋" w:cs="宋体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</w:rPr>
              <w:t>□比例    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861" w:type="dxa"/>
            <w:gridSpan w:val="2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6801" w:type="dxa"/>
            <w:gridSpan w:val="4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（五）企业重组中取得股权支付的原主要股东，在重组后连续12个月内，不得转让所取得的股权。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华文仿宋" w:hAnsi="华文仿宋" w:eastAsia="华文仿宋" w:cs="宋体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61" w:type="dxa"/>
            <w:gridSpan w:val="2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主管税务机关受理意见</w:t>
            </w:r>
          </w:p>
        </w:tc>
        <w:tc>
          <w:tcPr>
            <w:tcW w:w="8505" w:type="dxa"/>
            <w:gridSpan w:val="5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                                  （受理专用章）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61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505" w:type="dxa"/>
            <w:gridSpan w:val="5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10366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其他需要说明的事项（重组业务其他需要说明的事项，如没有则填“无”）：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72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纳税人声明</w:t>
            </w:r>
          </w:p>
        </w:tc>
        <w:tc>
          <w:tcPr>
            <w:tcW w:w="8646" w:type="dxa"/>
            <w:gridSpan w:val="6"/>
            <w:tcBorders>
              <w:top w:val="single" w:color="auto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谨声明：本人知悉并保证本表填报内容及所附证明材料真实、完整，并承担因资料虚假而产生的法律和行政责任。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646" w:type="dxa"/>
            <w:gridSpan w:val="6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法定代表人签章：             年    月   日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填表人：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填表日期： </w:t>
            </w:r>
          </w:p>
        </w:tc>
        <w:tc>
          <w:tcPr>
            <w:tcW w:w="3906" w:type="dxa"/>
            <w:gridSpan w:val="3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填表说明：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3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1.本表为企业重组业务适用特殊性税务处理申报时填报。涉及两个及以上重组交易类型的，应分别填报。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03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.“特殊性税务处理条件”，债务重组中重组所得超50%的，只需填写条件（一），债转股的，只需填写条件（一）和（五）；合并中同一控制下且不需要支付对价的合并，只需填写条件（一）、（二）、（三）和（五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3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3.本表一式两份，重组当事方及其所属主管税务机关各一份。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103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.除法律形式简单改变外，重组各方应在该重组业务完成当年，办理企业所得税年度申报时，分别向各自主管税务机关报送《企业重组所得税特殊性税务处理报告表及附表》和申报资料。合并、分立中重组一方涉及注销的，应在尚未办理注销税务登记手续前进行申报。重组主导方申报后，其他当事方向其主管税务机关办理纳税申报。申报时还应附送重组主导方经主管税务机关受理的《企业重组所得税特殊性税务处理报告表及 附 表》（复印件）。</w:t>
            </w:r>
          </w:p>
        </w:tc>
      </w:tr>
    </w:tbl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17"/>
        <w:tblW w:w="9165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4"/>
        <w:gridCol w:w="849"/>
        <w:gridCol w:w="271"/>
        <w:gridCol w:w="1022"/>
        <w:gridCol w:w="458"/>
        <w:gridCol w:w="629"/>
        <w:gridCol w:w="1451"/>
        <w:gridCol w:w="629"/>
        <w:gridCol w:w="218"/>
        <w:gridCol w:w="753"/>
        <w:gridCol w:w="11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4"/>
              </w:rPr>
            </w:pPr>
            <w:bookmarkStart w:id="0" w:name="RANGE!A1:G26"/>
            <w:r>
              <w:rPr>
                <w:rFonts w:hint="eastAsia" w:ascii="黑体" w:hAnsi="宋体" w:eastAsia="黑体" w:cs="宋体"/>
                <w:kern w:val="0"/>
                <w:sz w:val="24"/>
              </w:rPr>
              <w:t>附件1-1</w:t>
            </w:r>
            <w:bookmarkEnd w:id="0"/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1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企业重组所得税特殊性税务处理报告表(债务重组)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303" w:type="dxa"/>
            <w:gridSpan w:val="6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申报企业名称(盖章)：</w:t>
            </w:r>
          </w:p>
        </w:tc>
        <w:tc>
          <w:tcPr>
            <w:tcW w:w="4862" w:type="dxa"/>
            <w:gridSpan w:val="6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金额单位：元（列至角分）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70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债务人名称</w:t>
            </w:r>
          </w:p>
        </w:tc>
        <w:tc>
          <w:tcPr>
            <w:tcW w:w="2600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债务人纳税识别号</w:t>
            </w:r>
          </w:p>
        </w:tc>
        <w:tc>
          <w:tcPr>
            <w:tcW w:w="4862" w:type="dxa"/>
            <w:gridSpan w:val="6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债务人所属主管税务机关（全称）</w:t>
            </w:r>
          </w:p>
        </w:tc>
      </w:tr>
      <w:tr>
        <w:trPr>
          <w:trHeight w:val="405" w:hRule="atLeast"/>
        </w:trPr>
        <w:tc>
          <w:tcPr>
            <w:tcW w:w="170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26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86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rPr>
          <w:trHeight w:val="405" w:hRule="atLeast"/>
        </w:trPr>
        <w:tc>
          <w:tcPr>
            <w:tcW w:w="170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债权人名称</w:t>
            </w:r>
          </w:p>
        </w:tc>
        <w:tc>
          <w:tcPr>
            <w:tcW w:w="26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债权人纳税识别号</w:t>
            </w:r>
          </w:p>
        </w:tc>
        <w:tc>
          <w:tcPr>
            <w:tcW w:w="486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债权人所属主管税务机关（全称）</w:t>
            </w:r>
          </w:p>
        </w:tc>
      </w:tr>
      <w:tr>
        <w:trPr>
          <w:trHeight w:val="420" w:hRule="atLeast"/>
        </w:trPr>
        <w:tc>
          <w:tcPr>
            <w:tcW w:w="170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26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86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rPr>
          <w:trHeight w:val="510" w:hRule="atLeast"/>
        </w:trPr>
        <w:tc>
          <w:tcPr>
            <w:tcW w:w="170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债务重组方式</w:t>
            </w:r>
          </w:p>
        </w:tc>
        <w:tc>
          <w:tcPr>
            <w:tcW w:w="4680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  重组所得超过应纳税所得额50%</w:t>
            </w:r>
          </w:p>
        </w:tc>
        <w:tc>
          <w:tcPr>
            <w:tcW w:w="2782" w:type="dxa"/>
            <w:gridSpan w:val="4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  债转股</w:t>
            </w:r>
          </w:p>
        </w:tc>
      </w:tr>
      <w:tr>
        <w:trPr>
          <w:trHeight w:val="480" w:hRule="atLeast"/>
        </w:trPr>
        <w:tc>
          <w:tcPr>
            <w:tcW w:w="430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债务人重组业务涉及的债务账面价值</w:t>
            </w:r>
          </w:p>
        </w:tc>
        <w:tc>
          <w:tcPr>
            <w:tcW w:w="4862" w:type="dxa"/>
            <w:gridSpan w:val="6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552" w:type="dxa"/>
            <w:gridSpan w:val="3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债务人重组业务涉及的债务计税基础（1）</w:t>
            </w:r>
          </w:p>
        </w:tc>
        <w:tc>
          <w:tcPr>
            <w:tcW w:w="1293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3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其中：①应付账款计税基础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rPr>
          <w:trHeight w:val="330" w:hRule="atLeast"/>
        </w:trPr>
        <w:tc>
          <w:tcPr>
            <w:tcW w:w="2552" w:type="dxa"/>
            <w:gridSpan w:val="3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93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3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720" w:firstLineChars="3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②其他应付款计税基础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rPr>
          <w:trHeight w:val="330" w:hRule="atLeast"/>
        </w:trPr>
        <w:tc>
          <w:tcPr>
            <w:tcW w:w="2552" w:type="dxa"/>
            <w:gridSpan w:val="3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93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3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720" w:firstLineChars="3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③借款计税基础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rPr>
          <w:trHeight w:val="360" w:hRule="atLeast"/>
        </w:trPr>
        <w:tc>
          <w:tcPr>
            <w:tcW w:w="2552" w:type="dxa"/>
            <w:gridSpan w:val="3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93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385" w:type="dxa"/>
            <w:gridSpan w:val="5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720" w:firstLineChars="3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④其他债务计税基础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rPr>
          <w:trHeight w:val="345" w:hRule="atLeast"/>
        </w:trPr>
        <w:tc>
          <w:tcPr>
            <w:tcW w:w="709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除债转股方式外的债务重组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债务人用于偿付债务的资产公允价值（2）</w:t>
            </w:r>
          </w:p>
        </w:tc>
        <w:tc>
          <w:tcPr>
            <w:tcW w:w="129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385" w:type="dxa"/>
            <w:gridSpan w:val="5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其中：①现金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rPr>
          <w:trHeight w:val="315" w:hRule="atLeast"/>
        </w:trPr>
        <w:tc>
          <w:tcPr>
            <w:tcW w:w="70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9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3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720" w:firstLineChars="3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②银行存款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rPr>
          <w:trHeight w:val="315" w:hRule="atLeast"/>
        </w:trPr>
        <w:tc>
          <w:tcPr>
            <w:tcW w:w="70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9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385" w:type="dxa"/>
            <w:gridSpan w:val="5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720" w:firstLineChars="3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③非货币资产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rPr>
          <w:trHeight w:val="345" w:hRule="atLeast"/>
        </w:trPr>
        <w:tc>
          <w:tcPr>
            <w:tcW w:w="70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9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385" w:type="dxa"/>
            <w:gridSpan w:val="5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720" w:firstLineChars="3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④其他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rPr>
          <w:trHeight w:val="855" w:hRule="atLeast"/>
        </w:trPr>
        <w:tc>
          <w:tcPr>
            <w:tcW w:w="70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债务人债务重组所得（3）=（1）-（2）</w:t>
            </w:r>
          </w:p>
        </w:tc>
        <w:tc>
          <w:tcPr>
            <w:tcW w:w="66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rPr>
          <w:trHeight w:val="900" w:hRule="atLeast"/>
        </w:trPr>
        <w:tc>
          <w:tcPr>
            <w:tcW w:w="70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债务人本年度应纳税所得额</w:t>
            </w: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债务重组所得占本年度应纳税所得额的比重%</w:t>
            </w: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rPr>
          <w:trHeight w:val="1095" w:hRule="atLeast"/>
        </w:trPr>
        <w:tc>
          <w:tcPr>
            <w:tcW w:w="709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债转股方式的债务重组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债权人债转股后所拥有的股权占债务人全部股权比例%</w:t>
            </w:r>
          </w:p>
        </w:tc>
        <w:tc>
          <w:tcPr>
            <w:tcW w:w="2380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债转股取得股权的公允价值（4）</w:t>
            </w:r>
          </w:p>
        </w:tc>
        <w:tc>
          <w:tcPr>
            <w:tcW w:w="2153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rPr>
          <w:trHeight w:val="1170" w:hRule="atLeast"/>
        </w:trPr>
        <w:tc>
          <w:tcPr>
            <w:tcW w:w="70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债权人原债权的计税基础（即股权的计税基础）</w:t>
            </w: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债务人暂不确认的债务重组所得（5）=（1）-（4）</w:t>
            </w: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rPr>
          <w:trHeight w:val="765" w:hRule="atLeast"/>
        </w:trPr>
        <w:tc>
          <w:tcPr>
            <w:tcW w:w="9165" w:type="dxa"/>
            <w:gridSpan w:val="12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谨声明：本人知悉并保证本表填报内容及所附证明材料真实、完整，并承担因资料虚假而产生的法律和行政责任。</w:t>
            </w:r>
          </w:p>
        </w:tc>
      </w:tr>
      <w:tr>
        <w:trPr>
          <w:trHeight w:val="465" w:hRule="atLeast"/>
        </w:trPr>
        <w:tc>
          <w:tcPr>
            <w:tcW w:w="9165" w:type="dxa"/>
            <w:gridSpan w:val="12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法定代表人签章：                            年    月   日  </w:t>
            </w:r>
          </w:p>
        </w:tc>
      </w:tr>
      <w:tr>
        <w:trPr>
          <w:trHeight w:val="390" w:hRule="atLeast"/>
        </w:trPr>
        <w:tc>
          <w:tcPr>
            <w:tcW w:w="91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填表人：                                      填表日期： </w:t>
            </w:r>
          </w:p>
        </w:tc>
      </w:tr>
      <w:tr>
        <w:trPr>
          <w:trHeight w:val="405" w:hRule="atLeast"/>
        </w:trPr>
        <w:tc>
          <w:tcPr>
            <w:tcW w:w="91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填表说明：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本表一式两份,债务人（债权人）及其所属主管税务机关各一份。</w:t>
            </w:r>
          </w:p>
        </w:tc>
      </w:tr>
    </w:tbl>
    <w:p>
      <w:pPr>
        <w:widowControl/>
        <w:jc w:val="left"/>
        <w:rPr>
          <w:rFonts w:ascii="黑体" w:hAnsi="宋体" w:eastAsia="黑体" w:cs="宋体"/>
          <w:kern w:val="0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1" w:name="RANGE!A1:I41"/>
    </w:p>
    <w:tbl>
      <w:tblPr>
        <w:tblStyle w:val="17"/>
        <w:tblW w:w="13892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307"/>
        <w:gridCol w:w="364"/>
        <w:gridCol w:w="708"/>
        <w:gridCol w:w="68"/>
        <w:gridCol w:w="1208"/>
        <w:gridCol w:w="332"/>
        <w:gridCol w:w="377"/>
        <w:gridCol w:w="709"/>
        <w:gridCol w:w="214"/>
        <w:gridCol w:w="636"/>
        <w:gridCol w:w="567"/>
        <w:gridCol w:w="617"/>
        <w:gridCol w:w="1060"/>
        <w:gridCol w:w="166"/>
        <w:gridCol w:w="832"/>
        <w:gridCol w:w="456"/>
        <w:gridCol w:w="834"/>
        <w:gridCol w:w="146"/>
        <w:gridCol w:w="142"/>
        <w:gridCol w:w="992"/>
        <w:gridCol w:w="425"/>
        <w:gridCol w:w="851"/>
        <w:gridCol w:w="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3815" w:type="dxa"/>
          <w:trHeight w:val="285" w:hRule="atLeast"/>
        </w:trPr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附件1-2</w:t>
            </w:r>
            <w:bookmarkEnd w:id="1"/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5" w:type="dxa"/>
          <w:trHeight w:val="645" w:hRule="atLeast"/>
        </w:trPr>
        <w:tc>
          <w:tcPr>
            <w:tcW w:w="1346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企业重组所得税特殊性税务处理报告表(股权收购)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5" w:type="dxa"/>
          <w:trHeight w:val="345" w:hRule="atLeast"/>
        </w:trPr>
        <w:tc>
          <w:tcPr>
            <w:tcW w:w="4820" w:type="dxa"/>
            <w:gridSpan w:val="8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申报企业名称(盖章)：             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678" w:type="dxa"/>
            <w:gridSpan w:val="8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金额单位：元（列至角分）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5" w:type="dxa"/>
          <w:trHeight w:val="810" w:hRule="atLeast"/>
        </w:trPr>
        <w:tc>
          <w:tcPr>
            <w:tcW w:w="212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被收购企业名称</w:t>
            </w: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被收购企业纳税识别号</w:t>
            </w:r>
          </w:p>
        </w:tc>
        <w:tc>
          <w:tcPr>
            <w:tcW w:w="241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被收购企业所属主管税务机关（全称）</w:t>
            </w:r>
          </w:p>
        </w:tc>
        <w:tc>
          <w:tcPr>
            <w:tcW w:w="241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5" w:type="dxa"/>
          <w:trHeight w:val="795" w:hRule="atLeast"/>
        </w:trPr>
        <w:tc>
          <w:tcPr>
            <w:tcW w:w="212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股权收购方名称</w:t>
            </w: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股权收购方纳税识别号</w:t>
            </w:r>
          </w:p>
        </w:tc>
        <w:tc>
          <w:tcPr>
            <w:tcW w:w="2410" w:type="dxa"/>
            <w:gridSpan w:val="4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股权收购方所属主管税务机关（全称）</w:t>
            </w:r>
          </w:p>
        </w:tc>
        <w:tc>
          <w:tcPr>
            <w:tcW w:w="241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5" w:type="dxa"/>
          <w:trHeight w:val="600" w:hRule="atLeast"/>
        </w:trPr>
        <w:tc>
          <w:tcPr>
            <w:tcW w:w="212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股权转让方1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（被收购企业的股东）名称</w:t>
            </w: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转让被收购企业股权占被收购企业全部股权的比例% 1</w:t>
            </w:r>
          </w:p>
        </w:tc>
        <w:tc>
          <w:tcPr>
            <w:tcW w:w="2410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268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股权转让方1所属主管税务机关（全称）</w:t>
            </w:r>
          </w:p>
        </w:tc>
        <w:tc>
          <w:tcPr>
            <w:tcW w:w="2410" w:type="dxa"/>
            <w:gridSpan w:val="4"/>
            <w:vMerge w:val="restart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5" w:type="dxa"/>
          <w:trHeight w:val="600" w:hRule="atLeast"/>
        </w:trPr>
        <w:tc>
          <w:tcPr>
            <w:tcW w:w="212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股权转让方1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（被收购企业的股东）纳税识别号</w:t>
            </w: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10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68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10" w:type="dxa"/>
            <w:gridSpan w:val="4"/>
            <w:vMerge w:val="continue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5" w:type="dxa"/>
          <w:trHeight w:val="645" w:hRule="atLeast"/>
        </w:trPr>
        <w:tc>
          <w:tcPr>
            <w:tcW w:w="2127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股权转让方2（被收购企业的股东）名称</w:t>
            </w: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转让被收购企业股权占被收购企业全部股权的比例% 2</w:t>
            </w:r>
          </w:p>
        </w:tc>
        <w:tc>
          <w:tcPr>
            <w:tcW w:w="2410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268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股权转让方2所属主管税务机关（全称）</w:t>
            </w:r>
          </w:p>
        </w:tc>
        <w:tc>
          <w:tcPr>
            <w:tcW w:w="2410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5" w:type="dxa"/>
          <w:trHeight w:val="630" w:hRule="atLeast"/>
        </w:trPr>
        <w:tc>
          <w:tcPr>
            <w:tcW w:w="2127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股权转让方2（被收购企业的股东）纳税识别号</w:t>
            </w: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10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68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10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5" w:type="dxa"/>
          <w:trHeight w:val="630" w:hRule="atLeast"/>
        </w:trPr>
        <w:tc>
          <w:tcPr>
            <w:tcW w:w="4820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股权收购方购买的股权占被收购企业全部股权的比例%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股权收购方股权支付金额占交易支付总额的比例% </w:t>
            </w:r>
          </w:p>
        </w:tc>
        <w:tc>
          <w:tcPr>
            <w:tcW w:w="4678" w:type="dxa"/>
            <w:gridSpan w:val="8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5" w:type="dxa"/>
          <w:trHeight w:val="480" w:hRule="atLeast"/>
        </w:trPr>
        <w:tc>
          <w:tcPr>
            <w:tcW w:w="176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股权收购交易支付总额</w:t>
            </w:r>
          </w:p>
        </w:tc>
        <w:tc>
          <w:tcPr>
            <w:tcW w:w="234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其中：股权支付额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非股权支付额</w:t>
            </w:r>
          </w:p>
        </w:tc>
        <w:tc>
          <w:tcPr>
            <w:tcW w:w="25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5" w:type="dxa"/>
          <w:trHeight w:val="1050" w:hRule="atLeast"/>
        </w:trPr>
        <w:tc>
          <w:tcPr>
            <w:tcW w:w="176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股权转让合同（协议）生效日</w:t>
            </w:r>
          </w:p>
        </w:tc>
        <w:tc>
          <w:tcPr>
            <w:tcW w:w="234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股权收购方所收购股权的工商变更登记日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2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转让方与收购方是否为关联企业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□是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5" w:type="dxa"/>
          <w:trHeight w:val="660" w:hRule="atLeast"/>
        </w:trPr>
        <w:tc>
          <w:tcPr>
            <w:tcW w:w="411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被收购企业原有各项资产和负债的计税基础是否保持不变</w:t>
            </w:r>
          </w:p>
        </w:tc>
        <w:tc>
          <w:tcPr>
            <w:tcW w:w="4678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□是</w:t>
            </w:r>
          </w:p>
        </w:tc>
        <w:tc>
          <w:tcPr>
            <w:tcW w:w="4678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5" w:type="dxa"/>
          <w:trHeight w:val="300" w:hRule="atLeast"/>
        </w:trPr>
        <w:tc>
          <w:tcPr>
            <w:tcW w:w="456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权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转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让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  1</w:t>
            </w:r>
          </w:p>
        </w:tc>
        <w:tc>
          <w:tcPr>
            <w:tcW w:w="2379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项目名称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公允价值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账面价值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原计税基础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非股权支付对应的资产转让所得或损失</w:t>
            </w:r>
          </w:p>
        </w:tc>
        <w:tc>
          <w:tcPr>
            <w:tcW w:w="4678" w:type="dxa"/>
            <w:gridSpan w:val="8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实际取得股权及其他资产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5" w:type="dxa"/>
          <w:trHeight w:val="525" w:hRule="atLeast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8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2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项目名称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公允价值</w:t>
            </w:r>
          </w:p>
        </w:tc>
        <w:tc>
          <w:tcPr>
            <w:tcW w:w="127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计税基础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5" w:type="dxa"/>
          <w:trHeight w:val="360" w:hRule="atLeast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转让被收购企业股权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2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5" w:type="dxa"/>
          <w:trHeight w:val="315" w:hRule="atLeast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2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5" w:type="dxa"/>
          <w:trHeight w:val="345" w:hRule="atLeast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2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合计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5" w:type="dxa"/>
          <w:trHeight w:val="345" w:hRule="atLeast"/>
        </w:trPr>
        <w:tc>
          <w:tcPr>
            <w:tcW w:w="456" w:type="dxa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权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转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让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  2</w:t>
            </w:r>
          </w:p>
        </w:tc>
        <w:tc>
          <w:tcPr>
            <w:tcW w:w="2379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项目名称</w:t>
            </w:r>
          </w:p>
        </w:tc>
        <w:tc>
          <w:tcPr>
            <w:tcW w:w="1276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公允价值</w:t>
            </w:r>
          </w:p>
        </w:tc>
        <w:tc>
          <w:tcPr>
            <w:tcW w:w="1418" w:type="dxa"/>
            <w:gridSpan w:val="3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账面价值</w:t>
            </w:r>
          </w:p>
        </w:tc>
        <w:tc>
          <w:tcPr>
            <w:tcW w:w="1417" w:type="dxa"/>
            <w:gridSpan w:val="3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原计税基础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非股权支付对应的资产转让所得或损失</w:t>
            </w:r>
          </w:p>
        </w:tc>
        <w:tc>
          <w:tcPr>
            <w:tcW w:w="4678" w:type="dxa"/>
            <w:gridSpan w:val="8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实际取得股权及其他资产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5" w:type="dxa"/>
          <w:trHeight w:val="570" w:hRule="atLeast"/>
        </w:trPr>
        <w:tc>
          <w:tcPr>
            <w:tcW w:w="456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8" w:type="dxa"/>
            <w:gridSpan w:val="3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2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项目名称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公允价值</w:t>
            </w:r>
          </w:p>
        </w:tc>
        <w:tc>
          <w:tcPr>
            <w:tcW w:w="127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计税基础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5" w:type="dxa"/>
          <w:trHeight w:val="345" w:hRule="atLeast"/>
        </w:trPr>
        <w:tc>
          <w:tcPr>
            <w:tcW w:w="456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转让被收购企业股权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2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5" w:type="dxa"/>
          <w:trHeight w:val="345" w:hRule="atLeast"/>
        </w:trPr>
        <w:tc>
          <w:tcPr>
            <w:tcW w:w="456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43" w:type="dxa"/>
            <w:gridSpan w:val="3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2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5" w:type="dxa"/>
          <w:trHeight w:val="575" w:hRule="atLeast"/>
        </w:trPr>
        <w:tc>
          <w:tcPr>
            <w:tcW w:w="45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43" w:type="dxa"/>
            <w:gridSpan w:val="3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22" w:type="dxa"/>
            <w:gridSpan w:val="3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合计</w:t>
            </w:r>
          </w:p>
        </w:tc>
        <w:tc>
          <w:tcPr>
            <w:tcW w:w="128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5" w:type="dxa"/>
          <w:trHeight w:val="15" w:hRule="atLeast"/>
        </w:trPr>
        <w:tc>
          <w:tcPr>
            <w:tcW w:w="456" w:type="dxa"/>
            <w:tcBorders>
              <w:top w:val="single" w:color="auto" w:sz="2" w:space="0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vMerge w:val="continue"/>
            <w:tcBorders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2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2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2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43" w:type="dxa"/>
            <w:gridSpan w:val="3"/>
            <w:vMerge w:val="continue"/>
            <w:tcBorders>
              <w:left w:val="single" w:color="auto" w:sz="4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22" w:type="dxa"/>
            <w:gridSpan w:val="3"/>
            <w:vMerge w:val="continue"/>
            <w:tcBorders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80" w:type="dxa"/>
            <w:gridSpan w:val="3"/>
            <w:vMerge w:val="continue"/>
            <w:tcBorders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5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权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收 购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</w:t>
            </w:r>
          </w:p>
        </w:tc>
        <w:tc>
          <w:tcPr>
            <w:tcW w:w="23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项目名称</w:t>
            </w:r>
          </w:p>
        </w:tc>
        <w:tc>
          <w:tcPr>
            <w:tcW w:w="12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公允价值</w:t>
            </w:r>
          </w:p>
        </w:tc>
        <w:tc>
          <w:tcPr>
            <w:tcW w:w="141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账面价值</w:t>
            </w:r>
          </w:p>
        </w:tc>
        <w:tc>
          <w:tcPr>
            <w:tcW w:w="141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原计税基础</w:t>
            </w:r>
          </w:p>
        </w:tc>
        <w:tc>
          <w:tcPr>
            <w:tcW w:w="184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非股权支付对应的资产转让所得或损失</w:t>
            </w:r>
          </w:p>
        </w:tc>
        <w:tc>
          <w:tcPr>
            <w:tcW w:w="5103" w:type="dxa"/>
            <w:gridSpan w:val="9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实际取得股权及其他资产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5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8" w:type="dxa"/>
            <w:gridSpan w:val="3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项目名称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公允价值</w:t>
            </w:r>
          </w:p>
        </w:tc>
        <w:tc>
          <w:tcPr>
            <w:tcW w:w="127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计税基础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5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1.股权支付额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5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被收购企业股权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（1）本企业股权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10" w:type="dxa"/>
            <w:gridSpan w:val="5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5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（2）其控股企业股权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10" w:type="dxa"/>
            <w:gridSpan w:val="5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5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10" w:type="dxa"/>
            <w:gridSpan w:val="5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5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②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10" w:type="dxa"/>
            <w:gridSpan w:val="5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45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10" w:type="dxa"/>
            <w:gridSpan w:val="5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2.非股权支付额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10" w:type="dxa"/>
            <w:gridSpan w:val="5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5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合计（1+2）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10" w:type="dxa"/>
            <w:gridSpan w:val="5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92" w:type="dxa"/>
            <w:gridSpan w:val="24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谨声明：本人知悉并保证本表填报内容及所附证明材料真实、完整，并承担因资料虚假而产生的法律和行政责任。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892" w:type="dxa"/>
            <w:gridSpan w:val="24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法定代表人签章：                     年 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3815" w:type="dxa"/>
          <w:trHeight w:val="270" w:hRule="atLeast"/>
        </w:trPr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填表人：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填表日期：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3815" w:type="dxa"/>
          <w:trHeight w:val="319" w:hRule="atLeast"/>
        </w:trPr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填表说明：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9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1.若一笔股权收购交易涉及两个以上股权转让方的，应自行增加行次填写。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389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2.若股权收购业务较复杂，本表不能充分反映企业实际情况，企业可自行补充说明。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389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3.本表一式两份。股权转让方（股权收购方、被收购企业）及其所属主管税务机关各一份。</w:t>
            </w:r>
          </w:p>
        </w:tc>
      </w:tr>
    </w:tbl>
    <w:p>
      <w:pPr>
        <w:widowControl/>
        <w:jc w:val="left"/>
        <w:rPr>
          <w:rFonts w:ascii="黑体" w:hAnsi="宋体" w:eastAsia="黑体" w:cs="宋体"/>
          <w:kern w:val="0"/>
          <w:sz w:val="24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type="linesAndChars" w:linePitch="312" w:charSpace="0"/>
        </w:sectPr>
      </w:pPr>
      <w:bookmarkStart w:id="2" w:name="RANGE!A1:I33"/>
    </w:p>
    <w:tbl>
      <w:tblPr>
        <w:tblStyle w:val="17"/>
        <w:tblW w:w="1419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2393"/>
        <w:gridCol w:w="396"/>
        <w:gridCol w:w="1060"/>
        <w:gridCol w:w="387"/>
        <w:gridCol w:w="69"/>
        <w:gridCol w:w="1065"/>
        <w:gridCol w:w="450"/>
        <w:gridCol w:w="696"/>
        <w:gridCol w:w="236"/>
        <w:gridCol w:w="177"/>
        <w:gridCol w:w="691"/>
        <w:gridCol w:w="585"/>
        <w:gridCol w:w="1015"/>
        <w:gridCol w:w="119"/>
        <w:gridCol w:w="885"/>
        <w:gridCol w:w="276"/>
        <w:gridCol w:w="338"/>
        <w:gridCol w:w="118"/>
        <w:gridCol w:w="84"/>
        <w:gridCol w:w="377"/>
        <w:gridCol w:w="350"/>
        <w:gridCol w:w="407"/>
        <w:gridCol w:w="142"/>
        <w:gridCol w:w="14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316" w:type="dxa"/>
          <w:trHeight w:val="285" w:hRule="atLeast"/>
        </w:trPr>
        <w:tc>
          <w:tcPr>
            <w:tcW w:w="3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附件1-3</w:t>
            </w:r>
            <w:bookmarkEnd w:id="2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419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企业重组所得税特殊性税务处理报告表(资产收购)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right="-249" w:rightChars="-119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申报企业名称(盖章)：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698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金额单位：元（列至角分）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8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资产转让方名称</w:t>
            </w:r>
          </w:p>
        </w:tc>
        <w:tc>
          <w:tcPr>
            <w:tcW w:w="4536" w:type="dxa"/>
            <w:gridSpan w:val="9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4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资产转让方所属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主管税务机关（全称）</w:t>
            </w:r>
          </w:p>
        </w:tc>
        <w:tc>
          <w:tcPr>
            <w:tcW w:w="4394" w:type="dxa"/>
            <w:gridSpan w:val="10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资产转让方纳税识别号</w:t>
            </w:r>
          </w:p>
        </w:tc>
        <w:tc>
          <w:tcPr>
            <w:tcW w:w="453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4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394" w:type="dxa"/>
            <w:gridSpan w:val="10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资产转让方全部资产的公允价值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资产转让方所转让资产的公允价值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835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所转让资产占资产转让方全部资产的比例%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资产受让方名称</w:t>
            </w:r>
          </w:p>
        </w:tc>
        <w:tc>
          <w:tcPr>
            <w:tcW w:w="2977" w:type="dxa"/>
            <w:gridSpan w:val="5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835" w:type="dxa"/>
            <w:gridSpan w:val="6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资产受让方所属主管税务机关（全称）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835" w:type="dxa"/>
            <w:gridSpan w:val="8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股权支付金额占交易支付总额的比例%</w:t>
            </w:r>
          </w:p>
        </w:tc>
        <w:tc>
          <w:tcPr>
            <w:tcW w:w="1559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资产受让方纳税识别号</w:t>
            </w: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835" w:type="dxa"/>
            <w:gridSpan w:val="6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835" w:type="dxa"/>
            <w:gridSpan w:val="8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资产收购交易支付总额</w:t>
            </w: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835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其中：股权支付额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835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非股权支付额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转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让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</w:t>
            </w:r>
          </w:p>
        </w:tc>
        <w:tc>
          <w:tcPr>
            <w:tcW w:w="23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项目名称（按大类）</w:t>
            </w:r>
          </w:p>
        </w:tc>
        <w:tc>
          <w:tcPr>
            <w:tcW w:w="145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公允价值</w:t>
            </w:r>
          </w:p>
        </w:tc>
        <w:tc>
          <w:tcPr>
            <w:tcW w:w="1521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账面价值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原计税基础</w:t>
            </w:r>
          </w:p>
        </w:tc>
        <w:tc>
          <w:tcPr>
            <w:tcW w:w="2410" w:type="dxa"/>
            <w:gridSpan w:val="4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非股权支付对应的资产转让所得或损失</w:t>
            </w:r>
          </w:p>
        </w:tc>
        <w:tc>
          <w:tcPr>
            <w:tcW w:w="4394" w:type="dxa"/>
            <w:gridSpan w:val="10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实际取得股权及其他资产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5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21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59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10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项目名称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公允价值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计税基础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5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5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5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5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转让资产合计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合计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457" w:type="dxa"/>
            <w:vMerge w:val="restart"/>
            <w:tcBorders>
              <w:top w:val="single" w:color="auto" w:sz="2" w:space="0"/>
              <w:left w:val="single" w:color="auto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受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让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</w:t>
            </w:r>
          </w:p>
        </w:tc>
        <w:tc>
          <w:tcPr>
            <w:tcW w:w="2393" w:type="dxa"/>
            <w:vMerge w:val="restart"/>
            <w:tcBorders>
              <w:top w:val="single" w:color="auto" w:sz="2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项目名称</w:t>
            </w:r>
          </w:p>
        </w:tc>
        <w:tc>
          <w:tcPr>
            <w:tcW w:w="1456" w:type="dxa"/>
            <w:gridSpan w:val="2"/>
            <w:vMerge w:val="restart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公允价值</w:t>
            </w:r>
          </w:p>
        </w:tc>
        <w:tc>
          <w:tcPr>
            <w:tcW w:w="1521" w:type="dxa"/>
            <w:gridSpan w:val="3"/>
            <w:vMerge w:val="restart"/>
            <w:tcBorders>
              <w:top w:val="single" w:color="auto" w:sz="2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账面价值</w:t>
            </w:r>
          </w:p>
        </w:tc>
        <w:tc>
          <w:tcPr>
            <w:tcW w:w="1559" w:type="dxa"/>
            <w:gridSpan w:val="4"/>
            <w:vMerge w:val="restart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原计税基础</w:t>
            </w:r>
          </w:p>
        </w:tc>
        <w:tc>
          <w:tcPr>
            <w:tcW w:w="2410" w:type="dxa"/>
            <w:gridSpan w:val="4"/>
            <w:vMerge w:val="restart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非股权支付对应的资产转让所得或损失</w:t>
            </w:r>
          </w:p>
        </w:tc>
        <w:tc>
          <w:tcPr>
            <w:tcW w:w="4394" w:type="dxa"/>
            <w:gridSpan w:val="10"/>
            <w:tcBorders>
              <w:top w:val="single" w:color="auto" w:sz="2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实际取得股权及其他资产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5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93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5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21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59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10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项目名称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（按大类）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公允价值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计税基础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1.股权支付额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（1）本企业股权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（2）其控股企业股权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①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②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…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2.非股权支付额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5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合计（1+2)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合计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5827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是否存在资产收购涉及项目所得的税收优惠承继</w:t>
            </w:r>
          </w:p>
        </w:tc>
        <w:tc>
          <w:tcPr>
            <w:tcW w:w="15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优惠已执行年限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优惠剩余年限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4190" w:type="dxa"/>
            <w:gridSpan w:val="25"/>
            <w:tcBorders>
              <w:top w:val="single" w:color="auto" w:sz="4" w:space="0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谨声明：本人知悉并保证本表填报内容及所附证明材料真实、完整，并承担因资料虚假而产生的法律和行政责任。       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4190" w:type="dxa"/>
            <w:gridSpan w:val="25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法定代表人签章：   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966" w:type="dxa"/>
          <w:trHeight w:val="705" w:hRule="atLeast"/>
        </w:trPr>
        <w:tc>
          <w:tcPr>
            <w:tcW w:w="3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填表人：    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填表日期：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rPr>
          <w:gridAfter w:val="3"/>
          <w:wAfter w:w="1966" w:type="dxa"/>
          <w:trHeight w:val="330" w:hRule="atLeast"/>
        </w:trPr>
        <w:tc>
          <w:tcPr>
            <w:tcW w:w="3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填表说明：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3509" w:type="dxa"/>
          <w:trHeight w:val="315" w:hRule="atLeast"/>
        </w:trPr>
        <w:tc>
          <w:tcPr>
            <w:tcW w:w="106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1.若资产收购业务较复杂，本表不能充分反映企业实际情况，企业可自行补充说明。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3509" w:type="dxa"/>
          <w:trHeight w:val="330" w:hRule="atLeast"/>
        </w:trPr>
        <w:tc>
          <w:tcPr>
            <w:tcW w:w="106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2.本表一式两份。资产转让方（资产受让方）及其所属主管税务机关各一份。</w:t>
            </w:r>
          </w:p>
        </w:tc>
      </w:tr>
    </w:tbl>
    <w:p>
      <w:pPr>
        <w:widowControl/>
        <w:jc w:val="left"/>
        <w:rPr>
          <w:rFonts w:ascii="黑体" w:hAnsi="宋体" w:eastAsia="黑体" w:cs="宋体"/>
          <w:kern w:val="0"/>
          <w:sz w:val="24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type="linesAndChars" w:linePitch="312" w:charSpace="0"/>
        </w:sectPr>
      </w:pPr>
    </w:p>
    <w:tbl>
      <w:tblPr>
        <w:tblStyle w:val="17"/>
        <w:tblW w:w="9923" w:type="dxa"/>
        <w:tblInd w:w="-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8"/>
        <w:gridCol w:w="1420"/>
        <w:gridCol w:w="160"/>
        <w:gridCol w:w="1165"/>
        <w:gridCol w:w="234"/>
        <w:gridCol w:w="1178"/>
        <w:gridCol w:w="665"/>
        <w:gridCol w:w="567"/>
        <w:gridCol w:w="1670"/>
        <w:gridCol w:w="4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附件1-4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企业重组所得税特殊性税务处理报告表(企业合并)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923" w:type="dxa"/>
            <w:gridSpan w:val="10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申报企业名称(盖章)：                                 金额单位：元（列至角分）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40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合并企业名称 </w:t>
            </w:r>
          </w:p>
        </w:tc>
        <w:tc>
          <w:tcPr>
            <w:tcW w:w="2979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合并企业纳税识别号</w:t>
            </w:r>
          </w:p>
        </w:tc>
        <w:tc>
          <w:tcPr>
            <w:tcW w:w="2410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合并企业所属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主管税务机关（全称）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4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979" w:type="dxa"/>
            <w:gridSpan w:val="4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40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被合并企业名称</w:t>
            </w:r>
          </w:p>
        </w:tc>
        <w:tc>
          <w:tcPr>
            <w:tcW w:w="2979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被合并企业纳税识别号</w:t>
            </w:r>
          </w:p>
        </w:tc>
        <w:tc>
          <w:tcPr>
            <w:tcW w:w="4536" w:type="dxa"/>
            <w:gridSpan w:val="5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被合并企业所属主管税务机关（全称）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40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29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45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4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</w:t>
            </w:r>
          </w:p>
        </w:tc>
        <w:tc>
          <w:tcPr>
            <w:tcW w:w="2979" w:type="dxa"/>
            <w:gridSpan w:val="4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45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40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被合并企业股东名称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纳税识别号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持股比例%</w:t>
            </w:r>
          </w:p>
        </w:tc>
        <w:tc>
          <w:tcPr>
            <w:tcW w:w="4536" w:type="dxa"/>
            <w:gridSpan w:val="5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被合并企业股东所属主管税务机关（全称）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40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45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40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45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4536" w:type="dxa"/>
            <w:gridSpan w:val="5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40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合并交易的支付总额</w:t>
            </w:r>
          </w:p>
        </w:tc>
        <w:tc>
          <w:tcPr>
            <w:tcW w:w="142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股权支付额占交易支付总额的比例%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40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股权支付额（公允价值）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股权支付额（原计税基础）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40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非股权支付额（公允价值）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非股权支付额（原计税基础）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24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是否为同一控制下且不需要支付对价的合并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 是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 否</w:t>
            </w:r>
          </w:p>
        </w:tc>
        <w:tc>
          <w:tcPr>
            <w:tcW w:w="20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非股权支付对应的资产转让所得或损失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4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被合并企业税前尚未弥补的亏损额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被合并企业净资产公允价值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24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截至合并业务发生当年年末国家发行的最长期限的国债利率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可由合并企业弥补的被合并企业亏损的限额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4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被合并企业资产的原计税基础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合并企业接受被合并企业资产的计税基础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4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被合并企业负债的原计税基础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合并企业接受被合并企业负债的计税基础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4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未确认的资产损失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分期确认的收入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153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被合并企业有关项目所得优惠的剩余期限</w:t>
            </w:r>
          </w:p>
        </w:tc>
        <w:tc>
          <w:tcPr>
            <w:tcW w:w="4770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年至              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923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被合并企业股东取得股权和其他资产情况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40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股东名称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项目名称</w:t>
            </w:r>
          </w:p>
        </w:tc>
        <w:tc>
          <w:tcPr>
            <w:tcW w:w="290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公允价值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计税基础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40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90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408" w:type="dxa"/>
            <w:tcBorders>
              <w:top w:val="single" w:color="auto" w:sz="2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4157" w:type="dxa"/>
            <w:gridSpan w:val="5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902" w:type="dxa"/>
            <w:gridSpan w:val="3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tcBorders>
              <w:top w:val="single" w:color="auto" w:sz="2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4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90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923" w:type="dxa"/>
            <w:gridSpan w:val="10"/>
            <w:tcBorders>
              <w:top w:val="nil"/>
              <w:left w:val="single" w:color="auto" w:sz="8" w:space="0"/>
              <w:bottom w:val="nil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谨声明：本人知悉并保证本表填报内容及所附证明材料真实、完整，并承担因资料虚假而产生的法律和行政责任。</w:t>
            </w:r>
          </w:p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923" w:type="dxa"/>
            <w:gridSpan w:val="10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法定代表人签章：   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填表人：                 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填表日期： 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填表说明：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1.合并企业名称，吸收合并为合并后存续的企业，新设合并为新设企业。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2.被合并企业为两家以上的，应自行增加行次填写。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3.若企业合并业务较复杂，本表不能充分反映企业实际情况，企业可自行补充说明。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4.本表一式两份。合并企业（被合并企业、被合并企业股东）及其所属主管税务机关各一份。</w:t>
            </w:r>
          </w:p>
        </w:tc>
      </w:tr>
    </w:tbl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</w:pPr>
    </w:p>
    <w:tbl>
      <w:tblPr>
        <w:tblStyle w:val="17"/>
        <w:tblW w:w="9513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71"/>
        <w:gridCol w:w="1060"/>
        <w:gridCol w:w="144"/>
        <w:gridCol w:w="993"/>
        <w:gridCol w:w="1123"/>
        <w:gridCol w:w="1003"/>
        <w:gridCol w:w="850"/>
        <w:gridCol w:w="627"/>
        <w:gridCol w:w="9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附件1-5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企业重组所得税特殊性税务处理报告表(企业分立)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13" w:type="dxa"/>
            <w:gridSpan w:val="10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申报企业名称(盖章)：       金额单位：元（列至角分）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被分立企业名称</w:t>
            </w:r>
          </w:p>
        </w:tc>
        <w:tc>
          <w:tcPr>
            <w:tcW w:w="2268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被分立企业所属主管税务机关（全称）</w:t>
            </w:r>
          </w:p>
        </w:tc>
        <w:tc>
          <w:tcPr>
            <w:tcW w:w="2410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被分立企业纳税识别号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10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被分立企业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资产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负债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净资产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计税基础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公允价值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被分立企业股东名称 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持股比例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股权公允价值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股权原计税基础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被分立企业股东所属主管税务机关（全称）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分立企业1名称</w:t>
            </w:r>
          </w:p>
        </w:tc>
        <w:tc>
          <w:tcPr>
            <w:tcW w:w="2268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分立企业1所属主管税务机关（全称）</w:t>
            </w:r>
          </w:p>
        </w:tc>
        <w:tc>
          <w:tcPr>
            <w:tcW w:w="2410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分立企业1纳税识别号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10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分立企业1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资产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负债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净资产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计税基础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公允价值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分立企业2名称</w:t>
            </w:r>
          </w:p>
        </w:tc>
        <w:tc>
          <w:tcPr>
            <w:tcW w:w="2268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分立企业2所属主管税务机关（全称）</w:t>
            </w:r>
          </w:p>
        </w:tc>
        <w:tc>
          <w:tcPr>
            <w:tcW w:w="2410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分立企业2纳税识别号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10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分立企业2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资产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负债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净资产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计税基础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公允价值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70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分立交易的支付总额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股权支付额占交易支付总额的比例%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股权支付额（公允价值）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股权支付额（原计税基础）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非股权支付额（公允价值）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非股权支付额（原计税基础）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4977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非股权支付对应的资产转让所得或损失</w:t>
            </w:r>
          </w:p>
        </w:tc>
        <w:tc>
          <w:tcPr>
            <w:tcW w:w="45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780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被分立企业分立资产公允价值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60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被分立企业全部资产公允价值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780" w:type="dxa"/>
            <w:gridSpan w:val="2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被分立企业未超过法定弥补期限的亏损额</w:t>
            </w:r>
          </w:p>
        </w:tc>
        <w:tc>
          <w:tcPr>
            <w:tcW w:w="219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603" w:type="dxa"/>
            <w:gridSpan w:val="4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分立企业可弥补的被分立企业尚未弥补的亏损额</w:t>
            </w:r>
          </w:p>
        </w:tc>
        <w:tc>
          <w:tcPr>
            <w:tcW w:w="9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78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9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603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780" w:type="dxa"/>
            <w:gridSpan w:val="2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未确认的资产损失</w:t>
            </w:r>
          </w:p>
        </w:tc>
        <w:tc>
          <w:tcPr>
            <w:tcW w:w="2197" w:type="dxa"/>
            <w:gridSpan w:val="3"/>
            <w:tcBorders>
              <w:top w:val="single" w:color="auto" w:sz="2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603" w:type="dxa"/>
            <w:gridSpan w:val="4"/>
            <w:tcBorders>
              <w:top w:val="single" w:color="auto" w:sz="2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分期确认的收入</w:t>
            </w:r>
          </w:p>
        </w:tc>
        <w:tc>
          <w:tcPr>
            <w:tcW w:w="933" w:type="dxa"/>
            <w:tcBorders>
              <w:top w:val="single" w:color="auto" w:sz="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13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被分立企业股东取得股权和其他资产情况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0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股东名称</w:t>
            </w:r>
          </w:p>
        </w:tc>
        <w:tc>
          <w:tcPr>
            <w:tcW w:w="33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项目名称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公允价值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计税基础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780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3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780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3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3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9513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谨声明：本人知悉并保证本表填报内容及所附证明材料真实、完整，并承担因资料虚假而产生的法律和行政责任。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                  法定代表人签章：   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填表人：  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填表日期： 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填表说明：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1.分立企业超过两家的，应增加相应行次填写。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2.若企业分立业务较复杂，本表不能充分反映企业实际情况，企业可自行补充说明。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3.本表一式两份。分立企业（被分立企业、被分立企业股东）及其所属主管税务机关各一份。</w:t>
            </w:r>
          </w:p>
        </w:tc>
      </w:tr>
    </w:tbl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</w:pPr>
    </w:p>
    <w:p>
      <w:pPr>
        <w:rPr>
          <w:rFonts w:ascii="Calibri" w:hAnsi="Calibri" w:eastAsia="仿宋_GB2312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240B"/>
    <w:rsid w:val="00051D62"/>
    <w:rsid w:val="00392D25"/>
    <w:rsid w:val="0069149A"/>
    <w:rsid w:val="00A4064C"/>
    <w:rsid w:val="00C56564"/>
    <w:rsid w:val="00DC5949"/>
    <w:rsid w:val="00E305C2"/>
    <w:rsid w:val="00F856C0"/>
    <w:rsid w:val="00FD240B"/>
    <w:rsid w:val="7363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semiHidden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name="Document Map"/>
    <w:lsdException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0"/>
    <w:pPr>
      <w:keepNext/>
      <w:keepLines/>
      <w:spacing w:before="340" w:after="330" w:line="578" w:lineRule="auto"/>
      <w:ind w:left="432"/>
      <w:jc w:val="center"/>
      <w:outlineLvl w:val="0"/>
    </w:pPr>
    <w:rPr>
      <w:rFonts w:ascii="Arial" w:hAnsi="Arial" w:eastAsia="宋体" w:cs="Times New Roman"/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27"/>
    <w:qFormat/>
    <w:uiPriority w:val="0"/>
    <w:pPr>
      <w:keepNext/>
      <w:keepLines/>
      <w:tabs>
        <w:tab w:val="left" w:pos="567"/>
      </w:tabs>
      <w:spacing w:before="260" w:after="260" w:line="416" w:lineRule="auto"/>
      <w:ind w:left="567" w:hanging="567"/>
      <w:outlineLvl w:val="1"/>
    </w:pPr>
    <w:rPr>
      <w:rFonts w:ascii="Arial" w:hAnsi="Arial" w:eastAsia="黑体" w:cs="Times New Roman"/>
      <w:b/>
      <w:bCs/>
      <w:sz w:val="24"/>
      <w:szCs w:val="32"/>
    </w:rPr>
  </w:style>
  <w:style w:type="paragraph" w:styleId="4">
    <w:name w:val="heading 3"/>
    <w:basedOn w:val="1"/>
    <w:next w:val="1"/>
    <w:link w:val="28"/>
    <w:qFormat/>
    <w:uiPriority w:val="0"/>
    <w:pPr>
      <w:keepNext/>
      <w:keepLines/>
      <w:tabs>
        <w:tab w:val="left" w:pos="709"/>
      </w:tabs>
      <w:spacing w:before="260" w:after="260" w:line="416" w:lineRule="auto"/>
      <w:ind w:left="709" w:hanging="709"/>
      <w:outlineLvl w:val="2"/>
    </w:pPr>
    <w:rPr>
      <w:rFonts w:ascii="Times New Roman" w:hAnsi="Times New Roman" w:eastAsia="宋体" w:cs="Times New Roman"/>
      <w:b/>
      <w:bCs/>
      <w:szCs w:val="32"/>
    </w:rPr>
  </w:style>
  <w:style w:type="paragraph" w:styleId="5">
    <w:name w:val="heading 4"/>
    <w:basedOn w:val="1"/>
    <w:next w:val="1"/>
    <w:link w:val="29"/>
    <w:qFormat/>
    <w:uiPriority w:val="0"/>
    <w:pPr>
      <w:keepNext/>
      <w:widowControl/>
      <w:tabs>
        <w:tab w:val="left" w:pos="851"/>
      </w:tabs>
      <w:spacing w:before="240" w:after="60"/>
      <w:ind w:left="851" w:hanging="851"/>
      <w:outlineLvl w:val="3"/>
    </w:pPr>
    <w:rPr>
      <w:rFonts w:ascii="Arial" w:hAnsi="Arial" w:eastAsia="宋体" w:cs="Times New Roman"/>
      <w:b/>
      <w:bCs/>
      <w:kern w:val="0"/>
      <w:szCs w:val="28"/>
    </w:rPr>
  </w:style>
  <w:style w:type="paragraph" w:styleId="6">
    <w:name w:val="heading 5"/>
    <w:basedOn w:val="1"/>
    <w:next w:val="1"/>
    <w:link w:val="30"/>
    <w:qFormat/>
    <w:uiPriority w:val="0"/>
    <w:pPr>
      <w:keepNext/>
      <w:keepLines/>
      <w:tabs>
        <w:tab w:val="left" w:pos="992"/>
      </w:tabs>
      <w:spacing w:before="280" w:after="290" w:line="376" w:lineRule="auto"/>
      <w:ind w:left="992" w:hanging="992"/>
      <w:outlineLvl w:val="4"/>
    </w:pPr>
    <w:rPr>
      <w:rFonts w:ascii="Times New Roman" w:hAnsi="Times New Roman" w:eastAsia="宋体" w:cs="Times New Roman"/>
      <w:b/>
      <w:bCs/>
      <w:sz w:val="20"/>
      <w:szCs w:val="28"/>
    </w:rPr>
  </w:style>
  <w:style w:type="paragraph" w:styleId="7">
    <w:name w:val="heading 6"/>
    <w:basedOn w:val="1"/>
    <w:next w:val="1"/>
    <w:link w:val="31"/>
    <w:qFormat/>
    <w:uiPriority w:val="0"/>
    <w:pPr>
      <w:keepNext/>
      <w:keepLines/>
      <w:tabs>
        <w:tab w:val="left" w:pos="1134"/>
      </w:tabs>
      <w:spacing w:before="240" w:after="64" w:line="320" w:lineRule="auto"/>
      <w:ind w:left="1134" w:hanging="1134"/>
      <w:outlineLvl w:val="5"/>
    </w:pPr>
    <w:rPr>
      <w:rFonts w:ascii="Arial" w:hAnsi="Arial" w:eastAsia="楷体_GB2312" w:cs="Times New Roman"/>
      <w:b/>
      <w:bCs/>
      <w:szCs w:val="24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Document Map"/>
    <w:basedOn w:val="1"/>
    <w:link w:val="41"/>
    <w:semiHidden/>
    <w:uiPriority w:val="0"/>
    <w:pPr>
      <w:widowControl/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imes New Roman" w:hAnsi="Times New Roman" w:eastAsia="仿宋_GB2312" w:cs="Times New Roman"/>
      <w:kern w:val="0"/>
      <w:sz w:val="32"/>
      <w:szCs w:val="20"/>
    </w:rPr>
  </w:style>
  <w:style w:type="paragraph" w:styleId="9">
    <w:name w:val="annotation text"/>
    <w:basedOn w:val="1"/>
    <w:link w:val="38"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 w:eastAsia="仿宋_GB2312" w:cs="Times New Roman"/>
      <w:kern w:val="0"/>
      <w:sz w:val="32"/>
      <w:szCs w:val="20"/>
    </w:rPr>
  </w:style>
  <w:style w:type="paragraph" w:styleId="10">
    <w:name w:val="Plain Text"/>
    <w:basedOn w:val="1"/>
    <w:link w:val="34"/>
    <w:uiPriority w:val="0"/>
    <w:rPr>
      <w:rFonts w:ascii="宋体" w:hAnsi="Courier New" w:eastAsia="宋体" w:cs="Courier New"/>
      <w:szCs w:val="21"/>
    </w:rPr>
  </w:style>
  <w:style w:type="paragraph" w:styleId="11">
    <w:name w:val="Date"/>
    <w:basedOn w:val="1"/>
    <w:next w:val="1"/>
    <w:link w:val="32"/>
    <w:uiPriority w:val="0"/>
    <w:pPr>
      <w:ind w:left="100" w:leftChars="2500"/>
    </w:pPr>
    <w:rPr>
      <w:rFonts w:ascii="Times New Roman" w:hAnsi="Times New Roman" w:eastAsia="宋体" w:cs="Times New Roman"/>
      <w:szCs w:val="24"/>
    </w:rPr>
  </w:style>
  <w:style w:type="paragraph" w:styleId="12">
    <w:name w:val="Balloon Text"/>
    <w:basedOn w:val="1"/>
    <w:link w:val="44"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footer"/>
    <w:basedOn w:val="1"/>
    <w:link w:val="2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6">
    <w:name w:val="annotation subject"/>
    <w:basedOn w:val="9"/>
    <w:next w:val="9"/>
    <w:link w:val="43"/>
    <w:uiPriority w:val="99"/>
    <w:pPr>
      <w:widowControl w:val="0"/>
      <w:overflowPunct/>
      <w:autoSpaceDE/>
      <w:autoSpaceDN/>
      <w:adjustRightInd/>
      <w:textAlignment w:val="auto"/>
    </w:pPr>
    <w:rPr>
      <w:b/>
      <w:bCs/>
      <w:kern w:val="2"/>
      <w:sz w:val="21"/>
      <w:szCs w:val="24"/>
    </w:rPr>
  </w:style>
  <w:style w:type="character" w:styleId="19">
    <w:name w:val="Strong"/>
    <w:qFormat/>
    <w:uiPriority w:val="0"/>
    <w:rPr>
      <w:b/>
      <w:bCs/>
    </w:rPr>
  </w:style>
  <w:style w:type="character" w:styleId="20">
    <w:name w:val="page number"/>
    <w:basedOn w:val="18"/>
    <w:uiPriority w:val="0"/>
  </w:style>
  <w:style w:type="character" w:styleId="21">
    <w:name w:val="FollowedHyperlink"/>
    <w:basedOn w:val="18"/>
    <w:semiHidden/>
    <w:unhideWhenUsed/>
    <w:uiPriority w:val="99"/>
    <w:rPr>
      <w:color w:val="800080" w:themeColor="followedHyperlink"/>
      <w:u w:val="single"/>
    </w:rPr>
  </w:style>
  <w:style w:type="character" w:styleId="22">
    <w:name w:val="Hyperlink"/>
    <w:basedOn w:val="18"/>
    <w:semiHidden/>
    <w:unhideWhenUsed/>
    <w:uiPriority w:val="99"/>
    <w:rPr>
      <w:color w:val="0000FF"/>
      <w:u w:val="single"/>
    </w:rPr>
  </w:style>
  <w:style w:type="character" w:styleId="23">
    <w:name w:val="annotation reference"/>
    <w:uiPriority w:val="99"/>
    <w:rPr>
      <w:sz w:val="21"/>
      <w:szCs w:val="21"/>
    </w:rPr>
  </w:style>
  <w:style w:type="character" w:customStyle="1" w:styleId="24">
    <w:name w:val="页眉 Char"/>
    <w:basedOn w:val="18"/>
    <w:link w:val="14"/>
    <w:uiPriority w:val="99"/>
    <w:rPr>
      <w:sz w:val="18"/>
      <w:szCs w:val="18"/>
    </w:rPr>
  </w:style>
  <w:style w:type="character" w:customStyle="1" w:styleId="25">
    <w:name w:val="页脚 Char"/>
    <w:basedOn w:val="18"/>
    <w:link w:val="13"/>
    <w:uiPriority w:val="99"/>
    <w:rPr>
      <w:sz w:val="18"/>
      <w:szCs w:val="18"/>
    </w:rPr>
  </w:style>
  <w:style w:type="character" w:customStyle="1" w:styleId="26">
    <w:name w:val="标题 1 Char"/>
    <w:basedOn w:val="18"/>
    <w:link w:val="2"/>
    <w:uiPriority w:val="0"/>
    <w:rPr>
      <w:rFonts w:ascii="Arial" w:hAnsi="Arial" w:eastAsia="宋体" w:cs="Times New Roman"/>
      <w:b/>
      <w:bCs/>
      <w:kern w:val="44"/>
      <w:sz w:val="36"/>
      <w:szCs w:val="44"/>
    </w:rPr>
  </w:style>
  <w:style w:type="character" w:customStyle="1" w:styleId="27">
    <w:name w:val="标题 2 Char"/>
    <w:basedOn w:val="18"/>
    <w:link w:val="3"/>
    <w:uiPriority w:val="0"/>
    <w:rPr>
      <w:rFonts w:ascii="Arial" w:hAnsi="Arial" w:eastAsia="黑体" w:cs="Times New Roman"/>
      <w:b/>
      <w:bCs/>
      <w:sz w:val="24"/>
      <w:szCs w:val="32"/>
    </w:rPr>
  </w:style>
  <w:style w:type="character" w:customStyle="1" w:styleId="28">
    <w:name w:val="标题 3 Char"/>
    <w:basedOn w:val="18"/>
    <w:link w:val="4"/>
    <w:uiPriority w:val="0"/>
    <w:rPr>
      <w:rFonts w:ascii="Times New Roman" w:hAnsi="Times New Roman" w:eastAsia="宋体" w:cs="Times New Roman"/>
      <w:b/>
      <w:bCs/>
      <w:szCs w:val="32"/>
    </w:rPr>
  </w:style>
  <w:style w:type="character" w:customStyle="1" w:styleId="29">
    <w:name w:val="标题 4 Char"/>
    <w:basedOn w:val="18"/>
    <w:link w:val="5"/>
    <w:uiPriority w:val="0"/>
    <w:rPr>
      <w:rFonts w:ascii="Arial" w:hAnsi="Arial" w:eastAsia="宋体" w:cs="Times New Roman"/>
      <w:b/>
      <w:bCs/>
      <w:kern w:val="0"/>
      <w:szCs w:val="28"/>
    </w:rPr>
  </w:style>
  <w:style w:type="character" w:customStyle="1" w:styleId="30">
    <w:name w:val="标题 5 Char"/>
    <w:basedOn w:val="18"/>
    <w:link w:val="6"/>
    <w:uiPriority w:val="0"/>
    <w:rPr>
      <w:rFonts w:ascii="Times New Roman" w:hAnsi="Times New Roman" w:eastAsia="宋体" w:cs="Times New Roman"/>
      <w:b/>
      <w:bCs/>
      <w:sz w:val="20"/>
      <w:szCs w:val="28"/>
    </w:rPr>
  </w:style>
  <w:style w:type="character" w:customStyle="1" w:styleId="31">
    <w:name w:val="标题 6 Char"/>
    <w:basedOn w:val="18"/>
    <w:link w:val="7"/>
    <w:uiPriority w:val="0"/>
    <w:rPr>
      <w:rFonts w:ascii="Arial" w:hAnsi="Arial" w:eastAsia="楷体_GB2312" w:cs="Times New Roman"/>
      <w:b/>
      <w:bCs/>
      <w:szCs w:val="24"/>
    </w:rPr>
  </w:style>
  <w:style w:type="character" w:customStyle="1" w:styleId="32">
    <w:name w:val="日期 Char"/>
    <w:basedOn w:val="18"/>
    <w:link w:val="11"/>
    <w:uiPriority w:val="0"/>
    <w:rPr>
      <w:rFonts w:ascii="Times New Roman" w:hAnsi="Times New Roman" w:eastAsia="宋体" w:cs="Times New Roman"/>
      <w:szCs w:val="24"/>
    </w:rPr>
  </w:style>
  <w:style w:type="paragraph" w:customStyle="1" w:styleId="33">
    <w:name w:val="_Style 1"/>
    <w:basedOn w:val="1"/>
    <w:uiPriority w:val="0"/>
    <w:rPr>
      <w:rFonts w:ascii="Times New Roman" w:hAnsi="Times New Roman" w:eastAsia="仿宋_GB2312" w:cs="Times New Roman"/>
      <w:kern w:val="0"/>
      <w:sz w:val="32"/>
      <w:szCs w:val="20"/>
    </w:rPr>
  </w:style>
  <w:style w:type="character" w:customStyle="1" w:styleId="34">
    <w:name w:val="纯文本 Char"/>
    <w:basedOn w:val="18"/>
    <w:link w:val="10"/>
    <w:uiPriority w:val="0"/>
    <w:rPr>
      <w:rFonts w:ascii="宋体" w:hAnsi="Courier New" w:eastAsia="宋体" w:cs="Courier New"/>
      <w:szCs w:val="21"/>
    </w:rPr>
  </w:style>
  <w:style w:type="paragraph" w:customStyle="1" w:styleId="35">
    <w:name w:val="Char"/>
    <w:basedOn w:val="1"/>
    <w:uiPriority w:val="0"/>
    <w:rPr>
      <w:rFonts w:ascii="Tahoma" w:hAnsi="Tahoma" w:eastAsia="宋体" w:cs="Times New Roman"/>
      <w:sz w:val="24"/>
      <w:szCs w:val="20"/>
    </w:rPr>
  </w:style>
  <w:style w:type="paragraph" w:customStyle="1" w:styleId="36">
    <w:name w:val="Char Char Char Char"/>
    <w:basedOn w:val="1"/>
    <w:uiPriority w:val="0"/>
    <w:rPr>
      <w:rFonts w:ascii="Times New Roman" w:hAnsi="Times New Roman" w:eastAsia="仿宋_GB2312" w:cs="Times New Roman"/>
      <w:kern w:val="0"/>
      <w:sz w:val="32"/>
      <w:szCs w:val="20"/>
    </w:rPr>
  </w:style>
  <w:style w:type="paragraph" w:styleId="37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38">
    <w:name w:val="批注文字 Char"/>
    <w:basedOn w:val="18"/>
    <w:link w:val="9"/>
    <w:uiPriority w:val="99"/>
    <w:rPr>
      <w:rFonts w:ascii="Times New Roman" w:hAnsi="Times New Roman" w:eastAsia="仿宋_GB2312" w:cs="Times New Roman"/>
      <w:kern w:val="0"/>
      <w:sz w:val="32"/>
      <w:szCs w:val="20"/>
    </w:rPr>
  </w:style>
  <w:style w:type="paragraph" w:customStyle="1" w:styleId="39">
    <w:name w:val="Char Char Char Char Char Char Char"/>
    <w:basedOn w:val="1"/>
    <w:uiPriority w:val="0"/>
    <w:pPr>
      <w:tabs>
        <w:tab w:val="left" w:pos="1290"/>
      </w:tabs>
      <w:ind w:left="1290" w:hanging="720"/>
    </w:pPr>
    <w:rPr>
      <w:rFonts w:ascii="Times New Roman" w:hAnsi="Times New Roman" w:eastAsia="宋体" w:cs="Times New Roman"/>
      <w:sz w:val="24"/>
      <w:szCs w:val="24"/>
    </w:rPr>
  </w:style>
  <w:style w:type="character" w:customStyle="1" w:styleId="40">
    <w:name w:val="font14 line-height"/>
    <w:basedOn w:val="18"/>
    <w:uiPriority w:val="0"/>
  </w:style>
  <w:style w:type="character" w:customStyle="1" w:styleId="41">
    <w:name w:val="文档结构图 Char"/>
    <w:basedOn w:val="18"/>
    <w:link w:val="8"/>
    <w:semiHidden/>
    <w:uiPriority w:val="0"/>
    <w:rPr>
      <w:rFonts w:ascii="Times New Roman" w:hAnsi="Times New Roman" w:eastAsia="仿宋_GB2312" w:cs="Times New Roman"/>
      <w:kern w:val="0"/>
      <w:sz w:val="32"/>
      <w:szCs w:val="20"/>
      <w:shd w:val="clear" w:color="auto" w:fill="000080"/>
    </w:rPr>
  </w:style>
  <w:style w:type="paragraph" w:customStyle="1" w:styleId="42">
    <w:name w:val="xl36"/>
    <w:basedOn w:val="1"/>
    <w:uiPriority w:val="0"/>
    <w:pPr>
      <w:widowControl/>
      <w:spacing w:before="100" w:beforeAutospacing="1" w:after="100" w:afterAutospacing="1"/>
      <w:jc w:val="center"/>
    </w:pPr>
    <w:rPr>
      <w:rFonts w:hint="eastAsia" w:ascii="黑体" w:hAnsi="宋体" w:eastAsia="黑体" w:cs="Times New Roman"/>
      <w:b/>
      <w:bCs/>
      <w:kern w:val="0"/>
      <w:sz w:val="32"/>
      <w:szCs w:val="32"/>
    </w:rPr>
  </w:style>
  <w:style w:type="character" w:customStyle="1" w:styleId="43">
    <w:name w:val="批注主题 Char"/>
    <w:basedOn w:val="38"/>
    <w:link w:val="16"/>
    <w:uiPriority w:val="99"/>
    <w:rPr>
      <w:b/>
      <w:bCs/>
      <w:szCs w:val="24"/>
    </w:rPr>
  </w:style>
  <w:style w:type="character" w:customStyle="1" w:styleId="44">
    <w:name w:val="批注框文本 Char"/>
    <w:basedOn w:val="18"/>
    <w:link w:val="12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5">
    <w:name w:val="访问过的超链接1"/>
    <w:basedOn w:val="18"/>
    <w:semiHidden/>
    <w:unhideWhenUsed/>
    <w:uiPriority w:val="99"/>
    <w:rPr>
      <w:color w:val="80008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945</Words>
  <Characters>5388</Characters>
  <Lines>44</Lines>
  <Paragraphs>12</Paragraphs>
  <TotalTime>3</TotalTime>
  <ScaleCrop>false</ScaleCrop>
  <LinksUpToDate>false</LinksUpToDate>
  <CharactersWithSpaces>6321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2018-04-02T07:44:00Z</dcterms:created>
  <dc:creator> </dc:creator>
  <cp:lastModifiedBy>王允希</cp:lastModifiedBy>
  <dcterms:modified xsi:type="dcterms:W3CDTF">2022-04-12T07:12:01Z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