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073F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rPr>
          <w:rFonts w:ascii="宋体" w:hAnsi="宋体" w:cs="宋体"/>
          <w:bCs/>
          <w:color w:val="333333"/>
          <w:sz w:val="32"/>
          <w:szCs w:val="32"/>
          <w:shd w:val="clear" w:color="auto" w:fill="FFFFFF"/>
        </w:rPr>
      </w:pPr>
      <w:r w:rsidRPr="00A56A23">
        <w:rPr>
          <w:rFonts w:ascii="宋体" w:hAnsi="宋体" w:cs="宋体" w:hint="eastAsia"/>
          <w:bCs/>
          <w:color w:val="333333"/>
          <w:sz w:val="32"/>
          <w:szCs w:val="32"/>
          <w:shd w:val="clear" w:color="auto" w:fill="FFFFFF"/>
        </w:rPr>
        <w:t>附件5</w:t>
      </w:r>
    </w:p>
    <w:p w14:paraId="5F5DCA8F" w14:textId="77777777" w:rsidR="00A56A23" w:rsidRPr="00BE6F04" w:rsidRDefault="00A56A23" w:rsidP="00A56A23">
      <w:pPr>
        <w:pStyle w:val="af6"/>
        <w:spacing w:before="0" w:beforeAutospacing="0" w:after="0" w:afterAutospacing="0" w:line="560" w:lineRule="exact"/>
        <w:jc w:val="center"/>
        <w:rPr>
          <w:rFonts w:ascii="方正小标宋简体" w:eastAsia="方正小标宋简体" w:hAnsi="宋体" w:cs="宋体"/>
          <w:bCs/>
          <w:color w:val="333333"/>
          <w:sz w:val="44"/>
          <w:szCs w:val="44"/>
          <w:shd w:val="clear" w:color="auto" w:fill="FFFFFF"/>
        </w:rPr>
      </w:pPr>
      <w:r w:rsidRPr="00BE6F04">
        <w:rPr>
          <w:rFonts w:ascii="方正小标宋简体" w:eastAsia="方正小标宋简体" w:hAnsi="宋体" w:cs="宋体" w:hint="eastAsia"/>
          <w:bCs/>
          <w:color w:val="333333"/>
          <w:sz w:val="44"/>
          <w:szCs w:val="44"/>
          <w:shd w:val="clear" w:color="auto" w:fill="FFFFFF"/>
        </w:rPr>
        <w:t>社会组织年检审查标准</w:t>
      </w:r>
    </w:p>
    <w:p w14:paraId="2C30C583" w14:textId="77777777" w:rsidR="00A56A23" w:rsidRPr="00BE6F04" w:rsidRDefault="00A56A23" w:rsidP="00A56A23">
      <w:pPr>
        <w:pStyle w:val="af6"/>
        <w:spacing w:before="0" w:beforeAutospacing="0" w:after="0" w:afterAutospacing="0" w:line="560" w:lineRule="exact"/>
        <w:jc w:val="center"/>
        <w:rPr>
          <w:rFonts w:ascii="仿宋_GB2312" w:eastAsia="仿宋_GB2312" w:hAnsi="仿宋_GB2312" w:cs="仿宋_GB2312"/>
          <w:color w:val="333333"/>
          <w:sz w:val="28"/>
          <w:szCs w:val="28"/>
          <w:shd w:val="clear" w:color="auto" w:fill="FFFFFF"/>
        </w:rPr>
      </w:pPr>
    </w:p>
    <w:p w14:paraId="66160C34" w14:textId="77777777" w:rsidR="00A56A23" w:rsidRPr="00BE6F04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宋体" w:hAnsi="宋体" w:cs="黑体"/>
          <w:color w:val="333333"/>
          <w:sz w:val="32"/>
          <w:szCs w:val="32"/>
          <w:shd w:val="clear" w:color="auto" w:fill="FFFFFF"/>
        </w:rPr>
      </w:pPr>
      <w:r w:rsidRPr="00BE6F04">
        <w:rPr>
          <w:rFonts w:ascii="宋体" w:hAnsi="宋体" w:cs="黑体" w:hint="eastAsia"/>
          <w:color w:val="333333"/>
          <w:sz w:val="32"/>
          <w:szCs w:val="32"/>
          <w:shd w:val="clear" w:color="auto" w:fill="FFFFFF"/>
        </w:rPr>
        <w:t>一、《北京市社会团体年度检查办法（试行）》规定社会团体审查标准：</w:t>
      </w:r>
    </w:p>
    <w:p w14:paraId="76DF0A05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第十二条</w:t>
      </w:r>
      <w:r w:rsidRPr="00A56A23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 </w:t>
      </w: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社会团体在上年度遵守法律法规和国家政策规定情况良好，内部管理规范，能够严格按照章程规定开展活动，</w:t>
      </w:r>
      <w:proofErr w:type="gramStart"/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且信息</w:t>
      </w:r>
      <w:proofErr w:type="gramEnd"/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披露规范的，年检结论确定为合格。</w:t>
      </w:r>
    </w:p>
    <w:p w14:paraId="65904791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第十三条</w:t>
      </w:r>
      <w:r w:rsidRPr="00A56A23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 </w:t>
      </w: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社会团体有下列情形，情节轻微，社会影响不大的，年检结论可确定为基本合格：</w:t>
      </w:r>
    </w:p>
    <w:p w14:paraId="6B16794A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（一）未按照章程规定召开会员(代表)大会、理事会、常务理事会的；</w:t>
      </w:r>
    </w:p>
    <w:p w14:paraId="5837F023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（二）理事会、常务理事会超越章程规定行使职权的；</w:t>
      </w:r>
    </w:p>
    <w:p w14:paraId="75044A0D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（三）社会团体负责人未按期换届、</w:t>
      </w:r>
      <w:proofErr w:type="gramStart"/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超龄超届</w:t>
      </w:r>
      <w:proofErr w:type="gramEnd"/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任职或者由现职公务员兼任未按规定报批的；</w:t>
      </w:r>
    </w:p>
    <w:p w14:paraId="4099BEAC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（四）未按照章程规定履行民主程序设立分支机构、代表机构的；</w:t>
      </w:r>
    </w:p>
    <w:p w14:paraId="6534A054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（五）向分支机构、代表机构收取或者变相收取管理费用的；</w:t>
      </w:r>
    </w:p>
    <w:p w14:paraId="2EF79A2C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（六）财务管理不规范的；</w:t>
      </w:r>
    </w:p>
    <w:p w14:paraId="6BE253C9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（七）未制定登记证书、印章管理制度，管理使用不规范的；</w:t>
      </w:r>
    </w:p>
    <w:p w14:paraId="64B542FF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（八）违反规定举办评比达标表彰活动的；</w:t>
      </w:r>
    </w:p>
    <w:p w14:paraId="18D82FF1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（九）未按照规定接受登记管理机关、业务主管单位或其他</w:t>
      </w: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lastRenderedPageBreak/>
        <w:t>相关部门监督检查的；</w:t>
      </w:r>
    </w:p>
    <w:p w14:paraId="38B3FB54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（十）上一年度受到相关部门通报批评的；</w:t>
      </w:r>
    </w:p>
    <w:p w14:paraId="6BBDA9FE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（十一）其他违反章程或相关监督管理制度的。</w:t>
      </w:r>
      <w:r w:rsidRPr="00A56A23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 </w:t>
      </w:r>
    </w:p>
    <w:p w14:paraId="662F655D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第十四条</w:t>
      </w:r>
      <w:r w:rsidRPr="00A56A23">
        <w:rPr>
          <w:rFonts w:ascii="仿宋_GB2312" w:eastAsia="仿宋_GB2312" w:hAnsi="宋体" w:cs="宋体" w:hint="eastAsia"/>
          <w:color w:val="333333"/>
          <w:sz w:val="32"/>
          <w:szCs w:val="32"/>
          <w:shd w:val="clear" w:color="auto" w:fill="FFFFFF"/>
        </w:rPr>
        <w:t> </w:t>
      </w: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社会团体有本办法第十三条之情形，情节严重，影响恶劣的,年检结论可确定为不合格。社会团体有下列情形的，年检结论确定为不合格：</w:t>
      </w:r>
    </w:p>
    <w:p w14:paraId="435096CC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（一）涂改、出租、出借《社会团体法人登记证书》，或者出租、出借社会团体印章的；</w:t>
      </w:r>
    </w:p>
    <w:p w14:paraId="05B5ED2D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（二）超出章程规定的宗旨和业务范围进行活动的；</w:t>
      </w:r>
    </w:p>
    <w:p w14:paraId="2F587B64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（三）拒不接受登记管理机关、业务主管单位或其他相关部门监督检查的；</w:t>
      </w:r>
    </w:p>
    <w:p w14:paraId="70826CF6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（四）未按照规定办理登记、核准、备案手续的；</w:t>
      </w:r>
    </w:p>
    <w:p w14:paraId="569B1E10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（五）对分支机构、代表机构疏于管理，造成严重后果的；</w:t>
      </w:r>
    </w:p>
    <w:p w14:paraId="17DD4007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（六）从事营利性的经营活动的；</w:t>
      </w:r>
    </w:p>
    <w:p w14:paraId="1DEE1BD2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（七）侵占、私分、挪用社会团体资产或者所接受的捐赠、资助的；</w:t>
      </w:r>
    </w:p>
    <w:p w14:paraId="52AE0182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（八）违反国家有关规定收取费用、筹集资金或者接受、使用捐赠、资助的；</w:t>
      </w:r>
    </w:p>
    <w:p w14:paraId="787CB73C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（九）上一年度未开展任何业务活动的；</w:t>
      </w:r>
    </w:p>
    <w:p w14:paraId="638E5EEC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（十）上一年度受到相关部门行政处罚的；</w:t>
      </w:r>
    </w:p>
    <w:p w14:paraId="67DC73C0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（十一）不再具备法律法规规定的社会团体法人条件的；</w:t>
      </w:r>
    </w:p>
    <w:p w14:paraId="0F517BCC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（十二）内部管理混乱，不能正常开展业务活动的；</w:t>
      </w:r>
    </w:p>
    <w:p w14:paraId="4406FBEE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lastRenderedPageBreak/>
        <w:t>（十三）年度工作报告书隐瞒真实情况，弄虚作假的；</w:t>
      </w:r>
    </w:p>
    <w:p w14:paraId="5AFBA37D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_GB2312" w:cs="仿宋_GB2312"/>
          <w:color w:val="333333"/>
          <w:sz w:val="32"/>
          <w:szCs w:val="32"/>
          <w:shd w:val="clear" w:color="auto" w:fill="FFFFFF"/>
        </w:rPr>
      </w:pPr>
      <w:r w:rsidRPr="00A56A23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（十四）其他违反法律法规以及国家政策规定的。</w:t>
      </w:r>
    </w:p>
    <w:p w14:paraId="02BBDDF0" w14:textId="77777777" w:rsidR="00A56A23" w:rsidRPr="00BE6F04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宋体" w:hAnsi="宋体" w:cs="黑体"/>
          <w:sz w:val="32"/>
          <w:szCs w:val="32"/>
        </w:rPr>
      </w:pPr>
      <w:r w:rsidRPr="00BE6F04">
        <w:rPr>
          <w:rFonts w:ascii="宋体" w:hAnsi="宋体" w:cs="黑体" w:hint="eastAsia"/>
          <w:color w:val="333333"/>
          <w:sz w:val="32"/>
          <w:szCs w:val="32"/>
          <w:shd w:val="clear" w:color="auto" w:fill="FFFFFF"/>
        </w:rPr>
        <w:t>二、</w:t>
      </w:r>
      <w:r w:rsidRPr="00BE6F04">
        <w:rPr>
          <w:rFonts w:ascii="宋体" w:hAnsi="宋体" w:cs="黑体" w:hint="eastAsia"/>
          <w:sz w:val="32"/>
          <w:szCs w:val="32"/>
        </w:rPr>
        <w:t>《民办非企业单位年度检查办法》规定的民办非企业单位年检标准：</w:t>
      </w:r>
    </w:p>
    <w:p w14:paraId="7C3DE666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第八条 民办非企业单位有下列情形之一，由登记管理机关责令改正，情节轻微的，确定为“年检基本合格”；情节严重的，确定为“年检不合格”：</w:t>
      </w:r>
    </w:p>
    <w:p w14:paraId="6DBCC952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（一）违反国家法律、法规和有关政策规定的；</w:t>
      </w:r>
    </w:p>
    <w:p w14:paraId="7E843FB4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（二）违反规定使用登记证书、印章或者</w:t>
      </w:r>
      <w:hyperlink r:id="rId4" w:tgtFrame="https://baike.sogou.com/_blank" w:history="1">
        <w:r w:rsidRPr="00A56A23">
          <w:rPr>
            <w:rFonts w:ascii="仿宋_GB2312" w:eastAsia="仿宋_GB2312" w:hAnsi="仿宋" w:cs="仿宋" w:hint="eastAsia"/>
            <w:sz w:val="32"/>
            <w:szCs w:val="32"/>
          </w:rPr>
          <w:t>财务凭证</w:t>
        </w:r>
      </w:hyperlink>
      <w:r w:rsidRPr="00A56A23">
        <w:rPr>
          <w:rFonts w:ascii="仿宋_GB2312" w:eastAsia="仿宋_GB2312" w:hAnsi="仿宋" w:cs="仿宋" w:hint="eastAsia"/>
          <w:sz w:val="32"/>
          <w:szCs w:val="32"/>
        </w:rPr>
        <w:t>的；</w:t>
      </w:r>
    </w:p>
    <w:p w14:paraId="328CD267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（三）本年度未开展业务活动，或者不按照章程的规定进行活动的；</w:t>
      </w:r>
    </w:p>
    <w:p w14:paraId="5F70968D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（四）无固定住所或必要的活动场所的；</w:t>
      </w:r>
    </w:p>
    <w:p w14:paraId="7D4C96F4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（五）内部管理混乱，不能正常开展活动的；</w:t>
      </w:r>
    </w:p>
    <w:p w14:paraId="7E4818E1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（六）拒不接受或者不按照规定接受登记管理机关监督检查或年检的；</w:t>
      </w:r>
    </w:p>
    <w:p w14:paraId="2EEF74E3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（七）不按照规定办理变更登记，修改章程未按规定核准备案的；</w:t>
      </w:r>
    </w:p>
    <w:p w14:paraId="3363F9C3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（八）设立分支机构的；</w:t>
      </w:r>
    </w:p>
    <w:p w14:paraId="1D718AC1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（九）财务制度不健全，资金来源和使用违反有关规定的；</w:t>
      </w:r>
    </w:p>
    <w:p w14:paraId="27E4CA95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（十）现有净资产低于国家有关行业主管部门规定的最低标准的；</w:t>
      </w:r>
    </w:p>
    <w:p w14:paraId="0F3C8003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（十一）侵占、私分、挪用民办非企业单位的资产或者所接</w:t>
      </w:r>
      <w:r w:rsidRPr="00A56A23">
        <w:rPr>
          <w:rFonts w:ascii="仿宋_GB2312" w:eastAsia="仿宋_GB2312" w:hAnsi="仿宋" w:cs="仿宋" w:hint="eastAsia"/>
          <w:sz w:val="32"/>
          <w:szCs w:val="32"/>
        </w:rPr>
        <w:lastRenderedPageBreak/>
        <w:t>受的捐赠、资助的；</w:t>
      </w:r>
    </w:p>
    <w:p w14:paraId="1F07AA50" w14:textId="77777777" w:rsidR="00A56A23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仿宋" w:cs="仿宋"/>
          <w:sz w:val="32"/>
          <w:szCs w:val="3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（十二）违反国家有关规定收取费用、筹集资金或者接受使用捐赠、资助的；</w:t>
      </w:r>
    </w:p>
    <w:p w14:paraId="041D93E3" w14:textId="77777777" w:rsidR="00733550" w:rsidRPr="00A56A23" w:rsidRDefault="00A56A23" w:rsidP="00A56A23">
      <w:pPr>
        <w:pStyle w:val="af6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</w:rPr>
      </w:pPr>
      <w:r w:rsidRPr="00A56A23">
        <w:rPr>
          <w:rFonts w:ascii="仿宋_GB2312" w:eastAsia="仿宋_GB2312" w:hAnsi="仿宋" w:cs="仿宋" w:hint="eastAsia"/>
          <w:sz w:val="32"/>
          <w:szCs w:val="32"/>
        </w:rPr>
        <w:t>（十三）年检中隐瞒真实情况，弄虚作假的。</w:t>
      </w:r>
    </w:p>
    <w:sectPr w:rsidR="00733550" w:rsidRPr="00A56A23" w:rsidSect="00A56A23">
      <w:pgSz w:w="11906" w:h="16838"/>
      <w:pgMar w:top="2098" w:right="1474" w:bottom="2098" w:left="158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23"/>
    <w:rsid w:val="001B3C47"/>
    <w:rsid w:val="00733550"/>
    <w:rsid w:val="009557A9"/>
    <w:rsid w:val="00A5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F6E93"/>
  <w15:docId w15:val="{7A564044-D3A8-44EE-B8E4-24DAAFC05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C47"/>
  </w:style>
  <w:style w:type="paragraph" w:styleId="1">
    <w:name w:val="heading 1"/>
    <w:basedOn w:val="a"/>
    <w:next w:val="a"/>
    <w:link w:val="10"/>
    <w:uiPriority w:val="9"/>
    <w:qFormat/>
    <w:rsid w:val="001B3C47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C47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C47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C47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C47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3C4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C4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C4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C4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B3C4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1B3C4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1B3C4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1B3C4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标题 5 字符"/>
    <w:basedOn w:val="a0"/>
    <w:link w:val="5"/>
    <w:uiPriority w:val="9"/>
    <w:semiHidden/>
    <w:rsid w:val="001B3C4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标题 6 字符"/>
    <w:basedOn w:val="a0"/>
    <w:link w:val="6"/>
    <w:uiPriority w:val="9"/>
    <w:semiHidden/>
    <w:rsid w:val="001B3C4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标题 7 字符"/>
    <w:basedOn w:val="a0"/>
    <w:link w:val="7"/>
    <w:uiPriority w:val="9"/>
    <w:semiHidden/>
    <w:rsid w:val="001B3C4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标题 8 字符"/>
    <w:basedOn w:val="a0"/>
    <w:link w:val="8"/>
    <w:uiPriority w:val="9"/>
    <w:semiHidden/>
    <w:rsid w:val="001B3C4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1B3C4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B3C47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B3C47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标题 字符"/>
    <w:basedOn w:val="a0"/>
    <w:link w:val="a4"/>
    <w:uiPriority w:val="10"/>
    <w:rsid w:val="001B3C4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B3C47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1B3C47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B3C47"/>
    <w:rPr>
      <w:b/>
      <w:bCs/>
      <w:spacing w:val="0"/>
    </w:rPr>
  </w:style>
  <w:style w:type="character" w:styleId="a9">
    <w:name w:val="Emphasis"/>
    <w:uiPriority w:val="20"/>
    <w:qFormat/>
    <w:rsid w:val="001B3C47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B3C47"/>
  </w:style>
  <w:style w:type="character" w:customStyle="1" w:styleId="ab">
    <w:name w:val="无间隔 字符"/>
    <w:basedOn w:val="a0"/>
    <w:link w:val="aa"/>
    <w:uiPriority w:val="1"/>
    <w:rsid w:val="001B3C47"/>
  </w:style>
  <w:style w:type="paragraph" w:styleId="ac">
    <w:name w:val="List Paragraph"/>
    <w:basedOn w:val="a"/>
    <w:uiPriority w:val="34"/>
    <w:qFormat/>
    <w:rsid w:val="001B3C47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1B3C4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e">
    <w:name w:val="引用 字符"/>
    <w:basedOn w:val="a0"/>
    <w:link w:val="ad"/>
    <w:uiPriority w:val="29"/>
    <w:rsid w:val="001B3C4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1B3C4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0">
    <w:name w:val="明显引用 字符"/>
    <w:basedOn w:val="a0"/>
    <w:link w:val="af"/>
    <w:uiPriority w:val="30"/>
    <w:rsid w:val="001B3C4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1B3C47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1B3C47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1B3C47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1B3C47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1B3C4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1B3C47"/>
    <w:pPr>
      <w:outlineLvl w:val="9"/>
    </w:pPr>
    <w:rPr>
      <w:lang w:bidi="en-US"/>
    </w:rPr>
  </w:style>
  <w:style w:type="paragraph" w:styleId="af6">
    <w:name w:val="Normal (Web)"/>
    <w:basedOn w:val="a"/>
    <w:rsid w:val="00A56A23"/>
    <w:pPr>
      <w:widowControl w:val="0"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aike.sogou.com/lemma/ShowInnerLink.htm?lemmaId=57077141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赵 程程</cp:lastModifiedBy>
  <cp:revision>2</cp:revision>
  <dcterms:created xsi:type="dcterms:W3CDTF">2022-01-13T03:20:00Z</dcterms:created>
  <dcterms:modified xsi:type="dcterms:W3CDTF">2022-01-13T03:20:00Z</dcterms:modified>
</cp:coreProperties>
</file>