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olor w:val="000000"/>
          <w:sz w:val="32"/>
          <w:szCs w:val="32"/>
        </w:rPr>
      </w:pPr>
      <w:bookmarkStart w:id="0" w:name="_Toc70352799"/>
      <w:r>
        <w:rPr>
          <w:rFonts w:ascii="黑体" w:hAnsi="黑体" w:eastAsia="黑体"/>
          <w:color w:val="000000"/>
          <w:sz w:val="32"/>
          <w:szCs w:val="32"/>
        </w:rPr>
        <w:t>附件1</w:t>
      </w:r>
    </w:p>
    <w:p/>
    <w:p>
      <w:pPr>
        <w:keepNext/>
        <w:keepLines/>
        <w:pageBreakBefore w:val="0"/>
        <w:widowControl w:val="0"/>
        <w:tabs>
          <w:tab w:val="left" w:pos="1134"/>
        </w:tabs>
        <w:kinsoku/>
        <w:wordWrap/>
        <w:overflowPunct/>
        <w:topLinePunct w:val="0"/>
        <w:autoSpaceDE/>
        <w:autoSpaceDN/>
        <w:bidi w:val="0"/>
        <w:adjustRightInd w:val="0"/>
        <w:snapToGrid w:val="0"/>
        <w:spacing w:line="660" w:lineRule="exact"/>
        <w:ind w:firstLine="422" w:firstLineChars="96"/>
        <w:jc w:val="center"/>
        <w:textAlignment w:val="baseline"/>
        <w:outlineLvl w:val="1"/>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rPr>
        <w:t>自查报告</w:t>
      </w:r>
      <w:bookmarkEnd w:id="0"/>
      <w:r>
        <w:rPr>
          <w:rFonts w:hint="eastAsia" w:ascii="方正小标宋_GBK" w:hAnsi="方正小标宋_GBK" w:eastAsia="方正小标宋_GBK" w:cs="方正小标宋_GBK"/>
          <w:kern w:val="0"/>
          <w:sz w:val="44"/>
          <w:szCs w:val="44"/>
          <w:lang w:eastAsia="zh-CN"/>
        </w:rPr>
        <w:t>（模板）</w:t>
      </w:r>
    </w:p>
    <w:p>
      <w:pPr>
        <w:keepNext w:val="0"/>
        <w:keepLines w:val="0"/>
        <w:pageBreakBefore w:val="0"/>
        <w:widowControl w:val="0"/>
        <w:kinsoku/>
        <w:wordWrap/>
        <w:overflowPunct/>
        <w:topLinePunct w:val="0"/>
        <w:autoSpaceDE/>
        <w:autoSpaceDN/>
        <w:bidi w:val="0"/>
        <w:adjustRightInd/>
        <w:snapToGrid/>
        <w:spacing w:line="640" w:lineRule="exact"/>
        <w:ind w:firstLine="42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4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根据《财政部关于开展资产评估行业专项整治工作的通知》及相关要求，我们于2021年 月 日至 月 日进行了自查。现将自查情况汇报如下：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一、机构基本情况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机构简介。主要包括机构成立时间及其沿革，内部组织架构，人员规模及其构成，业务规模及其构成，注册资本、股东姓名及其出资额和比例、其他执业资质、共同控制下的其他实体（列举共同控制下的会计师事务所、房地产评估机构、土地评估机构等其他实体的成立时间及基本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contextualSpacing/>
        <w:textAlignment w:val="auto"/>
        <w:rPr>
          <w:rFonts w:hint="default" w:ascii="Times New Roman" w:hAnsi="Times New Roman" w:eastAsia="仿宋_GB2312" w:cs="Times New Roman"/>
          <w:sz w:val="32"/>
          <w:szCs w:val="32"/>
        </w:rPr>
      </w:pPr>
      <w:bookmarkStart w:id="1" w:name="_Hlk69989991"/>
      <w:r>
        <w:rPr>
          <w:rFonts w:hint="default" w:ascii="Times New Roman" w:hAnsi="Times New Roman" w:eastAsia="仿宋_GB2312" w:cs="Times New Roman"/>
          <w:sz w:val="32"/>
          <w:szCs w:val="32"/>
        </w:rPr>
        <w:t>2.机构内部治理、专业胜任能力、风险防范机制、质量控制体系（质控工作流程、质控团队建设）和项目质量检查</w:t>
      </w:r>
      <w:bookmarkEnd w:id="1"/>
      <w:r>
        <w:rPr>
          <w:rFonts w:hint="default" w:ascii="Times New Roman" w:hAnsi="Times New Roman" w:eastAsia="仿宋_GB2312" w:cs="Times New Roman"/>
          <w:sz w:val="32"/>
          <w:szCs w:val="32"/>
        </w:rPr>
        <w:t>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contextualSpacing/>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二、自查工作开展情况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主要包括自查时间、自查人员、自查范围、自查内容、主要自查方法等。</w:t>
      </w:r>
      <w:bookmarkStart w:id="2" w:name="_GoBack"/>
      <w:bookmarkEnd w:id="2"/>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contextualSpacing/>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三、自查发现的问题</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1.根据《财政部关于开展资产评估行业专项整治工作的通知》自查相关要求，本机构承诺以下自查情况属实：</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24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contextualSpacing/>
              <w:jc w:val="center"/>
              <w:rPr>
                <w:rFonts w:ascii="仿宋_GB2312" w:eastAsia="仿宋_GB2312"/>
                <w:b/>
                <w:bCs/>
                <w:sz w:val="24"/>
              </w:rPr>
            </w:pPr>
            <w:r>
              <w:rPr>
                <w:rFonts w:hint="eastAsia" w:ascii="仿宋_GB2312" w:eastAsia="仿宋_GB2312"/>
                <w:b/>
                <w:bCs/>
                <w:sz w:val="24"/>
              </w:rPr>
              <w:t>序号</w:t>
            </w:r>
          </w:p>
        </w:tc>
        <w:tc>
          <w:tcPr>
            <w:tcW w:w="5245" w:type="dxa"/>
          </w:tcPr>
          <w:p>
            <w:pPr>
              <w:spacing w:line="360" w:lineRule="auto"/>
              <w:contextualSpacing/>
              <w:jc w:val="center"/>
              <w:rPr>
                <w:rFonts w:ascii="仿宋_GB2312" w:eastAsia="仿宋_GB2312"/>
                <w:b/>
                <w:bCs/>
                <w:sz w:val="24"/>
              </w:rPr>
            </w:pPr>
            <w:r>
              <w:rPr>
                <w:rFonts w:hint="eastAsia" w:ascii="仿宋_GB2312" w:eastAsia="仿宋_GB2312"/>
                <w:b/>
                <w:bCs/>
                <w:sz w:val="24"/>
              </w:rPr>
              <w:t>自查内容</w:t>
            </w:r>
          </w:p>
        </w:tc>
        <w:tc>
          <w:tcPr>
            <w:tcW w:w="2347" w:type="dxa"/>
          </w:tcPr>
          <w:p>
            <w:pPr>
              <w:spacing w:line="360" w:lineRule="auto"/>
              <w:contextualSpacing/>
              <w:jc w:val="center"/>
              <w:rPr>
                <w:rFonts w:ascii="仿宋_GB2312" w:eastAsia="仿宋_GB2312"/>
                <w:b/>
                <w:bCs/>
                <w:sz w:val="24"/>
              </w:rPr>
            </w:pPr>
            <w:r>
              <w:rPr>
                <w:rFonts w:hint="eastAsia" w:ascii="仿宋_GB2312" w:eastAsia="仿宋_GB2312"/>
                <w:b/>
                <w:bCs/>
                <w:sz w:val="24"/>
              </w:rPr>
              <w:t>是否存在问题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contextualSpacing/>
              <w:jc w:val="center"/>
              <w:rPr>
                <w:rFonts w:ascii="仿宋_GB2312" w:eastAsia="仿宋_GB2312"/>
                <w:sz w:val="32"/>
                <w:szCs w:val="32"/>
              </w:rPr>
            </w:pPr>
            <w:r>
              <w:rPr>
                <w:rFonts w:hint="eastAsia" w:ascii="仿宋_GB2312" w:eastAsia="仿宋_GB2312"/>
                <w:b/>
                <w:bCs/>
                <w:sz w:val="24"/>
              </w:rPr>
              <w:t>1</w:t>
            </w:r>
          </w:p>
        </w:tc>
        <w:tc>
          <w:tcPr>
            <w:tcW w:w="5245" w:type="dxa"/>
          </w:tcPr>
          <w:p>
            <w:pPr>
              <w:spacing w:line="360" w:lineRule="auto"/>
              <w:contextualSpacing/>
              <w:rPr>
                <w:rFonts w:ascii="仿宋_GB2312" w:eastAsia="仿宋_GB2312"/>
                <w:sz w:val="24"/>
              </w:rPr>
            </w:pPr>
            <w:r>
              <w:rPr>
                <w:rFonts w:hint="eastAsia" w:ascii="仿宋_GB2312" w:eastAsia="仿宋_GB2312"/>
                <w:sz w:val="24"/>
              </w:rPr>
              <w:t>是否存在资产评估师挂名或不在资产评估机构专职执业行为</w:t>
            </w:r>
          </w:p>
        </w:tc>
        <w:tc>
          <w:tcPr>
            <w:tcW w:w="2347" w:type="dxa"/>
          </w:tcPr>
          <w:p>
            <w:pPr>
              <w:spacing w:line="360" w:lineRule="auto"/>
              <w:contextualSpacing/>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contextualSpacing/>
              <w:jc w:val="center"/>
              <w:rPr>
                <w:rFonts w:ascii="仿宋_GB2312" w:eastAsia="仿宋_GB2312"/>
                <w:sz w:val="32"/>
                <w:szCs w:val="32"/>
              </w:rPr>
            </w:pPr>
            <w:r>
              <w:rPr>
                <w:rFonts w:hint="eastAsia" w:ascii="仿宋_GB2312" w:eastAsia="仿宋_GB2312"/>
                <w:b/>
                <w:bCs/>
                <w:sz w:val="24"/>
              </w:rPr>
              <w:t>2</w:t>
            </w:r>
          </w:p>
        </w:tc>
        <w:tc>
          <w:tcPr>
            <w:tcW w:w="5245" w:type="dxa"/>
          </w:tcPr>
          <w:p>
            <w:pPr>
              <w:spacing w:line="360" w:lineRule="auto"/>
              <w:contextualSpacing/>
              <w:rPr>
                <w:rFonts w:ascii="仿宋_GB2312" w:eastAsia="仿宋_GB2312"/>
                <w:sz w:val="24"/>
              </w:rPr>
            </w:pPr>
            <w:r>
              <w:rPr>
                <w:rFonts w:hint="eastAsia" w:ascii="仿宋_GB2312" w:eastAsia="仿宋_GB2312"/>
                <w:sz w:val="24"/>
              </w:rPr>
              <w:t>资产评估机构在评估程序履行、评估专业人员委派、评估报告内部复核等方面是否存在重大缺陷，是否承接了与自身规模、执业能力、风险承担能力不匹配的业务</w:t>
            </w:r>
          </w:p>
        </w:tc>
        <w:tc>
          <w:tcPr>
            <w:tcW w:w="2347" w:type="dxa"/>
          </w:tcPr>
          <w:p>
            <w:pPr>
              <w:spacing w:line="360" w:lineRule="auto"/>
              <w:contextualSpacing/>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spacing w:line="360" w:lineRule="auto"/>
              <w:contextualSpacing/>
              <w:jc w:val="center"/>
              <w:rPr>
                <w:rFonts w:ascii="仿宋_GB2312" w:eastAsia="仿宋_GB2312"/>
                <w:sz w:val="32"/>
                <w:szCs w:val="32"/>
              </w:rPr>
            </w:pPr>
            <w:r>
              <w:rPr>
                <w:rFonts w:hint="eastAsia" w:ascii="仿宋_GB2312" w:eastAsia="仿宋_GB2312"/>
                <w:b/>
                <w:bCs/>
                <w:sz w:val="24"/>
              </w:rPr>
              <w:t>3</w:t>
            </w:r>
          </w:p>
        </w:tc>
        <w:tc>
          <w:tcPr>
            <w:tcW w:w="5245" w:type="dxa"/>
          </w:tcPr>
          <w:p>
            <w:pPr>
              <w:spacing w:line="360" w:lineRule="auto"/>
              <w:contextualSpacing/>
              <w:rPr>
                <w:rFonts w:ascii="仿宋_GB2312" w:eastAsia="仿宋_GB2312"/>
                <w:sz w:val="24"/>
              </w:rPr>
            </w:pPr>
            <w:r>
              <w:rPr>
                <w:rFonts w:hint="eastAsia" w:ascii="仿宋_GB2312" w:eastAsia="仿宋_GB2312"/>
                <w:sz w:val="24"/>
              </w:rPr>
              <w:t>是否存在单个资产评估师年度内出具2</w:t>
            </w:r>
            <w:r>
              <w:rPr>
                <w:rFonts w:ascii="仿宋_GB2312" w:eastAsia="仿宋_GB2312"/>
                <w:sz w:val="24"/>
              </w:rPr>
              <w:t>00</w:t>
            </w:r>
            <w:r>
              <w:rPr>
                <w:rFonts w:hint="eastAsia" w:ascii="仿宋_GB2312" w:eastAsia="仿宋_GB2312"/>
                <w:sz w:val="24"/>
              </w:rPr>
              <w:t>份以上资产评估报告；资产评估师数量不足5名、承接国有资产评估业务并出具报告；资产评估师数量不足3</w:t>
            </w:r>
            <w:r>
              <w:rPr>
                <w:rFonts w:ascii="仿宋_GB2312" w:eastAsia="仿宋_GB2312"/>
                <w:sz w:val="24"/>
              </w:rPr>
              <w:t>0</w:t>
            </w:r>
            <w:r>
              <w:rPr>
                <w:rFonts w:hint="eastAsia" w:ascii="仿宋_GB2312" w:eastAsia="仿宋_GB2312"/>
                <w:sz w:val="24"/>
              </w:rPr>
              <w:t>名、承接证券评估业务并出具报告情况</w:t>
            </w:r>
          </w:p>
        </w:tc>
        <w:tc>
          <w:tcPr>
            <w:tcW w:w="2347" w:type="dxa"/>
          </w:tcPr>
          <w:p>
            <w:pPr>
              <w:spacing w:line="360" w:lineRule="auto"/>
              <w:contextualSpacing/>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contextualSpacing/>
              <w:jc w:val="center"/>
              <w:rPr>
                <w:rFonts w:ascii="仿宋_GB2312" w:eastAsia="仿宋_GB2312"/>
                <w:b/>
                <w:bCs/>
                <w:sz w:val="24"/>
              </w:rPr>
            </w:pPr>
            <w:r>
              <w:rPr>
                <w:rFonts w:hint="eastAsia" w:ascii="仿宋_GB2312" w:eastAsia="仿宋_GB2312"/>
                <w:b/>
                <w:bCs/>
                <w:sz w:val="24"/>
              </w:rPr>
              <w:t>4</w:t>
            </w:r>
          </w:p>
        </w:tc>
        <w:tc>
          <w:tcPr>
            <w:tcW w:w="5245" w:type="dxa"/>
          </w:tcPr>
          <w:p>
            <w:pPr>
              <w:spacing w:line="360" w:lineRule="auto"/>
              <w:contextualSpacing/>
              <w:rPr>
                <w:rFonts w:ascii="仿宋_GB2312" w:eastAsia="仿宋_GB2312"/>
                <w:sz w:val="24"/>
              </w:rPr>
            </w:pPr>
            <w:r>
              <w:rPr>
                <w:rFonts w:hint="eastAsia" w:ascii="仿宋_GB2312" w:eastAsia="仿宋_GB2312"/>
                <w:sz w:val="24"/>
              </w:rPr>
              <w:t>是否存在近三年来资本无序扩张、法人股占比超过3</w:t>
            </w:r>
            <w:r>
              <w:rPr>
                <w:rFonts w:ascii="仿宋_GB2312" w:eastAsia="仿宋_GB2312"/>
                <w:sz w:val="24"/>
              </w:rPr>
              <w:t>0</w:t>
            </w:r>
            <w:r>
              <w:rPr>
                <w:rFonts w:hint="eastAsia" w:ascii="仿宋_GB2312" w:eastAsia="仿宋_GB2312"/>
                <w:sz w:val="24"/>
              </w:rPr>
              <w:t>%情形</w:t>
            </w:r>
          </w:p>
        </w:tc>
        <w:tc>
          <w:tcPr>
            <w:tcW w:w="2347" w:type="dxa"/>
          </w:tcPr>
          <w:p>
            <w:pPr>
              <w:spacing w:line="360" w:lineRule="auto"/>
              <w:contextualSpacing/>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contextualSpacing/>
              <w:jc w:val="center"/>
              <w:rPr>
                <w:rFonts w:ascii="仿宋_GB2312" w:eastAsia="仿宋_GB2312"/>
                <w:sz w:val="32"/>
                <w:szCs w:val="32"/>
              </w:rPr>
            </w:pPr>
            <w:r>
              <w:rPr>
                <w:rFonts w:hint="eastAsia" w:ascii="仿宋_GB2312" w:eastAsia="仿宋_GB2312"/>
                <w:b/>
                <w:bCs/>
                <w:sz w:val="24"/>
              </w:rPr>
              <w:t>5</w:t>
            </w:r>
          </w:p>
        </w:tc>
        <w:tc>
          <w:tcPr>
            <w:tcW w:w="5245" w:type="dxa"/>
          </w:tcPr>
          <w:p>
            <w:pPr>
              <w:spacing w:line="360" w:lineRule="auto"/>
              <w:contextualSpacing/>
              <w:rPr>
                <w:rFonts w:ascii="仿宋_GB2312" w:eastAsia="仿宋_GB2312"/>
                <w:sz w:val="24"/>
              </w:rPr>
            </w:pPr>
            <w:r>
              <w:rPr>
                <w:rFonts w:hint="eastAsia" w:ascii="仿宋_GB2312" w:eastAsia="仿宋_GB2312"/>
                <w:sz w:val="24"/>
              </w:rPr>
              <w:t>资产评估机构及其分支机构按照评估法及资产评估行业财政监督管理办法规定领取营业执照、通过资产评估机构备案信息管理系统录入资产评估专业人员等监管信息</w:t>
            </w:r>
          </w:p>
        </w:tc>
        <w:tc>
          <w:tcPr>
            <w:tcW w:w="2347" w:type="dxa"/>
          </w:tcPr>
          <w:p>
            <w:pPr>
              <w:spacing w:line="360" w:lineRule="auto"/>
              <w:contextualSpacing/>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line="360" w:lineRule="auto"/>
              <w:contextualSpacing/>
              <w:jc w:val="center"/>
              <w:rPr>
                <w:rFonts w:ascii="仿宋_GB2312" w:eastAsia="仿宋_GB2312"/>
                <w:sz w:val="32"/>
                <w:szCs w:val="32"/>
              </w:rPr>
            </w:pPr>
            <w:r>
              <w:rPr>
                <w:rFonts w:hint="eastAsia" w:ascii="仿宋_GB2312" w:eastAsia="仿宋_GB2312"/>
                <w:b/>
                <w:bCs/>
                <w:sz w:val="24"/>
              </w:rPr>
              <w:t>6</w:t>
            </w:r>
          </w:p>
        </w:tc>
        <w:tc>
          <w:tcPr>
            <w:tcW w:w="5245" w:type="dxa"/>
          </w:tcPr>
          <w:p>
            <w:pPr>
              <w:spacing w:line="360" w:lineRule="auto"/>
              <w:contextualSpacing/>
              <w:rPr>
                <w:rFonts w:ascii="仿宋_GB2312" w:eastAsia="仿宋_GB2312"/>
                <w:sz w:val="24"/>
              </w:rPr>
            </w:pPr>
            <w:r>
              <w:rPr>
                <w:rFonts w:hint="eastAsia" w:ascii="仿宋_GB2312" w:eastAsia="仿宋_GB2312"/>
                <w:sz w:val="24"/>
              </w:rPr>
              <w:t>资产评估机构或资产评估师是否存在通过网络平台售卖资产评估报告的情形</w:t>
            </w:r>
          </w:p>
        </w:tc>
        <w:tc>
          <w:tcPr>
            <w:tcW w:w="2347" w:type="dxa"/>
          </w:tcPr>
          <w:p>
            <w:pPr>
              <w:spacing w:line="360" w:lineRule="auto"/>
              <w:contextualSpacing/>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pPr>
              <w:spacing w:line="360" w:lineRule="auto"/>
              <w:contextualSpacing/>
              <w:jc w:val="center"/>
              <w:rPr>
                <w:rFonts w:ascii="仿宋_GB2312" w:eastAsia="仿宋_GB2312"/>
                <w:sz w:val="32"/>
                <w:szCs w:val="32"/>
              </w:rPr>
            </w:pPr>
            <w:r>
              <w:rPr>
                <w:rFonts w:hint="eastAsia" w:ascii="仿宋_GB2312" w:eastAsia="仿宋_GB2312"/>
                <w:b/>
                <w:bCs/>
                <w:sz w:val="24"/>
              </w:rPr>
              <w:t>7</w:t>
            </w:r>
          </w:p>
        </w:tc>
        <w:tc>
          <w:tcPr>
            <w:tcW w:w="5245" w:type="dxa"/>
          </w:tcPr>
          <w:p>
            <w:pPr>
              <w:spacing w:line="360" w:lineRule="auto"/>
              <w:contextualSpacing/>
              <w:rPr>
                <w:rFonts w:ascii="仿宋_GB2312" w:eastAsia="仿宋_GB2312"/>
                <w:sz w:val="24"/>
              </w:rPr>
            </w:pPr>
            <w:r>
              <w:rPr>
                <w:rFonts w:hint="eastAsia" w:ascii="仿宋_GB2312" w:eastAsia="仿宋_GB2312"/>
                <w:sz w:val="24"/>
              </w:rPr>
              <w:t>资产评估机构质量控制制度、内部管理制度和执业风险基金，制度健全、执行到位是否存在问题</w:t>
            </w:r>
          </w:p>
        </w:tc>
        <w:tc>
          <w:tcPr>
            <w:tcW w:w="2347" w:type="dxa"/>
          </w:tcPr>
          <w:p>
            <w:pPr>
              <w:spacing w:line="360" w:lineRule="auto"/>
              <w:contextualSpacing/>
              <w:rPr>
                <w:rFonts w:ascii="仿宋_GB2312" w:eastAsia="仿宋_GB2312"/>
                <w:sz w:val="28"/>
                <w:szCs w:val="28"/>
              </w:rPr>
            </w:pPr>
          </w:p>
        </w:tc>
      </w:tr>
    </w:tbl>
    <w:p>
      <w:pPr>
        <w:ind w:firstLine="640" w:firstLineChars="200"/>
        <w:rPr>
          <w:rFonts w:ascii="仿宋_GB2312" w:eastAsia="仿宋_GB2312"/>
          <w:sz w:val="32"/>
          <w:szCs w:val="32"/>
        </w:rPr>
      </w:pPr>
      <w:r>
        <w:rPr>
          <w:rFonts w:hint="eastAsia" w:ascii="仿宋_GB2312" w:eastAsia="仿宋_GB2312"/>
          <w:sz w:val="32"/>
          <w:szCs w:val="32"/>
        </w:rPr>
        <w:t>2.对发现的问题进行说明，并对产生问题的原因进行分析。</w:t>
      </w:r>
    </w:p>
    <w:p>
      <w:pPr>
        <w:spacing w:line="360" w:lineRule="auto"/>
        <w:ind w:firstLine="640" w:firstLineChars="200"/>
        <w:contextualSpacing/>
        <w:rPr>
          <w:rFonts w:ascii="仿宋_GB2312" w:eastAsia="仿宋_GB2312"/>
          <w:sz w:val="32"/>
          <w:szCs w:val="32"/>
        </w:rPr>
      </w:pPr>
      <w:r>
        <w:rPr>
          <w:rFonts w:hint="eastAsia" w:ascii="黑体" w:hAnsi="黑体" w:eastAsia="黑体"/>
          <w:sz w:val="32"/>
          <w:szCs w:val="32"/>
        </w:rPr>
        <w:t>四、整改措施</w:t>
      </w:r>
    </w:p>
    <w:p>
      <w:pPr>
        <w:spacing w:line="360" w:lineRule="auto"/>
        <w:ind w:firstLine="640" w:firstLineChars="200"/>
        <w:contextualSpacing/>
        <w:rPr>
          <w:rFonts w:ascii="仿宋_GB2312" w:eastAsia="仿宋_GB2312"/>
          <w:sz w:val="32"/>
          <w:szCs w:val="32"/>
        </w:rPr>
      </w:pPr>
      <w:r>
        <w:rPr>
          <w:rFonts w:ascii="仿宋_GB2312" w:eastAsia="仿宋_GB2312"/>
          <w:sz w:val="32"/>
          <w:szCs w:val="32"/>
        </w:rPr>
        <w:t>结合自查存在的问题，有针对性的提出整改措施</w:t>
      </w:r>
      <w:r>
        <w:rPr>
          <w:rFonts w:hint="eastAsia" w:ascii="仿宋_GB2312" w:eastAsia="仿宋_GB2312"/>
          <w:sz w:val="32"/>
          <w:szCs w:val="32"/>
        </w:rPr>
        <w:t>。</w:t>
      </w:r>
    </w:p>
    <w:p>
      <w:pPr>
        <w:spacing w:line="360" w:lineRule="auto"/>
        <w:ind w:firstLine="739" w:firstLineChars="231"/>
        <w:contextualSpacing/>
        <w:rPr>
          <w:rFonts w:ascii="仿宋_GB2312" w:eastAsia="仿宋_GB2312"/>
          <w:sz w:val="32"/>
          <w:szCs w:val="32"/>
        </w:rPr>
      </w:pPr>
      <w:r>
        <w:rPr>
          <w:rFonts w:hint="eastAsia" w:ascii="黑体" w:hAnsi="黑体" w:eastAsia="黑体"/>
          <w:sz w:val="32"/>
          <w:szCs w:val="32"/>
        </w:rPr>
        <w:t>五、</w:t>
      </w:r>
      <w:r>
        <w:rPr>
          <w:rFonts w:ascii="黑体" w:hAnsi="黑体" w:eastAsia="黑体"/>
          <w:sz w:val="32"/>
          <w:szCs w:val="32"/>
        </w:rPr>
        <w:t>其他方面</w:t>
      </w:r>
    </w:p>
    <w:p>
      <w:pPr>
        <w:ind w:firstLine="640" w:firstLineChars="200"/>
        <w:rPr>
          <w:rFonts w:ascii="仿宋_GB2312" w:eastAsia="仿宋_GB2312"/>
          <w:sz w:val="32"/>
          <w:szCs w:val="32"/>
        </w:rPr>
      </w:pPr>
      <w:r>
        <w:rPr>
          <w:rFonts w:ascii="仿宋_GB2312" w:eastAsia="仿宋_GB2312"/>
          <w:sz w:val="32"/>
          <w:szCs w:val="32"/>
        </w:rPr>
        <w:t>主要包括先进经验和好的做法，以及对资产评估行业发展和行政监管方面的意见及建议等。</w:t>
      </w:r>
    </w:p>
    <w:p>
      <w:pPr>
        <w:widowControl/>
        <w:spacing w:line="560" w:lineRule="exact"/>
        <w:ind w:firstLine="640" w:firstLineChars="200"/>
        <w:jc w:val="left"/>
        <w:rPr>
          <w:rFonts w:ascii="黑体" w:hAnsi="黑体" w:eastAsia="黑体"/>
          <w:sz w:val="32"/>
          <w:szCs w:val="32"/>
        </w:rPr>
      </w:pPr>
      <w:r>
        <w:rPr>
          <w:rFonts w:hint="eastAsia" w:ascii="黑体" w:hAnsi="黑体" w:eastAsia="黑体"/>
          <w:sz w:val="32"/>
          <w:szCs w:val="32"/>
        </w:rPr>
        <w:t>六、资产评估机构及法定代表人申明</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本人及所在资产评估机构慎重承诺：自查报告及附表内容如实填报，由本人签署并按相关要求报送。</w:t>
      </w:r>
    </w:p>
    <w:p>
      <w:pPr>
        <w:widowControl/>
        <w:spacing w:line="560" w:lineRule="exact"/>
        <w:jc w:val="left"/>
        <w:rPr>
          <w:rFonts w:ascii="仿宋_GB2312" w:eastAsia="仿宋_GB2312"/>
          <w:sz w:val="32"/>
          <w:szCs w:val="32"/>
        </w:rPr>
      </w:pPr>
    </w:p>
    <w:p>
      <w:pPr>
        <w:widowControl/>
        <w:spacing w:line="560" w:lineRule="exact"/>
        <w:ind w:firstLine="1600" w:firstLineChars="500"/>
        <w:jc w:val="left"/>
        <w:rPr>
          <w:rFonts w:ascii="仿宋_GB2312" w:eastAsia="仿宋_GB2312"/>
          <w:sz w:val="32"/>
          <w:szCs w:val="32"/>
          <w:u w:val="single"/>
        </w:rPr>
      </w:pPr>
      <w:r>
        <w:rPr>
          <w:rFonts w:hint="eastAsia" w:ascii="仿宋_GB2312" w:eastAsia="仿宋_GB2312"/>
          <w:sz w:val="32"/>
          <w:szCs w:val="32"/>
        </w:rPr>
        <w:t>资产评估机构法定代表人签名：</w:t>
      </w:r>
      <w:r>
        <w:rPr>
          <w:rFonts w:hint="eastAsia" w:ascii="仿宋_GB2312" w:eastAsia="仿宋_GB2312"/>
          <w:sz w:val="32"/>
          <w:szCs w:val="32"/>
          <w:u w:val="single"/>
        </w:rPr>
        <w:t xml:space="preserve"> </w:t>
      </w:r>
      <w:r>
        <w:rPr>
          <w:rFonts w:ascii="仿宋_GB2312" w:eastAsia="仿宋_GB2312"/>
          <w:sz w:val="32"/>
          <w:szCs w:val="32"/>
          <w:u w:val="single"/>
        </w:rPr>
        <w:t xml:space="preserve">         </w:t>
      </w:r>
    </w:p>
    <w:p>
      <w:pPr>
        <w:spacing w:line="360" w:lineRule="auto"/>
        <w:ind w:right="2560"/>
        <w:contextualSpacing/>
        <w:rPr>
          <w:rFonts w:ascii="仿宋_GB2312" w:eastAsia="仿宋_GB2312"/>
          <w:sz w:val="32"/>
          <w:szCs w:val="32"/>
        </w:rPr>
      </w:pPr>
    </w:p>
    <w:p>
      <w:pPr>
        <w:spacing w:line="360" w:lineRule="auto"/>
        <w:ind w:right="2560"/>
        <w:contextualSpacing/>
        <w:rPr>
          <w:rFonts w:ascii="仿宋_GB2312" w:eastAsia="仿宋_GB2312"/>
          <w:sz w:val="32"/>
          <w:szCs w:val="32"/>
        </w:rPr>
      </w:pPr>
    </w:p>
    <w:p>
      <w:pPr>
        <w:wordWrap w:val="0"/>
        <w:jc w:val="right"/>
        <w:rPr>
          <w:rFonts w:ascii="仿宋_GB2312" w:eastAsia="仿宋_GB2312"/>
          <w:sz w:val="30"/>
          <w:szCs w:val="30"/>
        </w:rPr>
      </w:pPr>
      <w:r>
        <w:rPr>
          <w:rFonts w:hint="eastAsia" w:ascii="仿宋_GB2312" w:eastAsia="仿宋_GB2312"/>
          <w:sz w:val="30"/>
          <w:szCs w:val="30"/>
        </w:rPr>
        <w:t>资产评估机构（盖章）：</w:t>
      </w:r>
    </w:p>
    <w:p>
      <w:pPr>
        <w:jc w:val="right"/>
        <w:rPr>
          <w:rFonts w:ascii="仿宋_GB2312" w:eastAsia="仿宋_GB2312"/>
          <w:sz w:val="30"/>
          <w:szCs w:val="30"/>
        </w:rPr>
      </w:pPr>
    </w:p>
    <w:p>
      <w:pPr>
        <w:jc w:val="right"/>
        <w:rPr>
          <w:rFonts w:ascii="仿宋_GB2312" w:eastAsia="仿宋_GB2312"/>
          <w:sz w:val="30"/>
          <w:szCs w:val="30"/>
        </w:rPr>
      </w:pPr>
      <w:r>
        <w:rPr>
          <w:rFonts w:hint="eastAsia" w:ascii="仿宋_GB2312" w:eastAsia="仿宋_GB2312"/>
          <w:sz w:val="30"/>
          <w:szCs w:val="30"/>
        </w:rPr>
        <w:t>XXXX年 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书体坊王学勤钢笔行书">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7E"/>
    <w:rsid w:val="002D620A"/>
    <w:rsid w:val="006C1D7E"/>
    <w:rsid w:val="00707986"/>
    <w:rsid w:val="007D00D9"/>
    <w:rsid w:val="009308AE"/>
    <w:rsid w:val="009443F3"/>
    <w:rsid w:val="00976C29"/>
    <w:rsid w:val="00981AE6"/>
    <w:rsid w:val="00C15E90"/>
    <w:rsid w:val="00DF3BAB"/>
    <w:rsid w:val="00E2156B"/>
    <w:rsid w:val="3FB92D5E"/>
    <w:rsid w:val="71FF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eastAsia="宋体" w:cs="Times New Roman"/>
      <w:sz w:val="18"/>
      <w:szCs w:val="18"/>
    </w:rPr>
  </w:style>
  <w:style w:type="character" w:customStyle="1" w:styleId="9">
    <w:name w:val="页脚 Char"/>
    <w:basedOn w:val="6"/>
    <w:link w:val="2"/>
    <w:qFormat/>
    <w:uiPriority w:val="99"/>
    <w:rPr>
      <w:rFonts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Words>
  <Characters>854</Characters>
  <Lines>7</Lines>
  <Paragraphs>2</Paragraphs>
  <TotalTime>8</TotalTime>
  <ScaleCrop>false</ScaleCrop>
  <LinksUpToDate>false</LinksUpToDate>
  <CharactersWithSpaces>1001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2021-10-21T16:52:00Z</dcterms:created>
  <dc:creator>丝丝 李</dc:creator>
  <cp:lastModifiedBy>syr</cp:lastModifiedBy>
  <dcterms:modified xsi:type="dcterms:W3CDTF">2021-10-28T09:47:27Z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