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36"/>
        <w:keepNext w:val="0"/>
        <w:keepLines w:val="0"/>
        <w:widowControl w:val="0"/>
        <w:spacing w:after="468" w:line="620" w:lineRule="exact"/>
        <w:textAlignment w:val="baseline"/>
        <w:rPr>
          <w:rFonts w:ascii="黑体" w:eastAsia="黑体" w:cs="黑体"/>
          <w:color w:val="000000"/>
        </w:rPr>
      </w:pPr>
      <w:r>
        <w:rPr>
          <w:rFonts w:ascii="黑体" w:eastAsia="黑体" w:cs="黑体" w:hint="eastAsia"/>
          <w:color w:val="000000"/>
        </w:rPr>
        <w:t>琼府办〔</w:t>
      </w:r>
      <w:r>
        <w:rPr>
          <w:rFonts w:ascii="黑体" w:eastAsia="黑体" w:cs="黑体"/>
          <w:color w:val="000000"/>
        </w:rPr>
        <w:t>2021〕17</w:t>
      </w:r>
      <w:bookmarkStart w:id="0" w:name="_GoBack"/>
      <w:bookmarkEnd w:id="0"/>
      <w:r>
        <w:rPr>
          <w:rFonts w:ascii="黑体" w:eastAsia="黑体" w:cs="黑体"/>
          <w:color w:val="000000"/>
        </w:rPr>
        <w:t>号</w:t>
      </w:r>
    </w:p>
    <w:p>
      <w:pPr>
        <w:pStyle w:val="36"/>
        <w:keepNext w:val="0"/>
        <w:keepLines w:val="0"/>
        <w:widowControl w:val="0"/>
        <w:spacing w:after="468" w:line="620" w:lineRule="exact"/>
        <w:jc w:val="center"/>
        <w:textAlignment w:val="baseline"/>
        <w:rPr>
          <w:rFonts w:ascii="宋体" w:eastAsia="方正小标宋简体" w:cs="黑体" w:hAnsi="宋体"/>
          <w:color w:val="000000"/>
          <w:sz w:val="52"/>
          <w:szCs w:val="52"/>
        </w:rPr>
      </w:pPr>
    </w:p>
    <w:p>
      <w:pPr>
        <w:pStyle w:val="36"/>
        <w:keepNext w:val="0"/>
        <w:keepLines w:val="0"/>
        <w:widowControl w:val="0"/>
        <w:spacing w:after="468" w:line="620" w:lineRule="exact"/>
        <w:jc w:val="center"/>
        <w:textAlignment w:val="baseline"/>
        <w:rPr>
          <w:rFonts w:ascii="宋体" w:eastAsia="方正小标宋简体" w:cs="黑体" w:hAnsi="宋体"/>
          <w:color w:val="000000"/>
          <w:sz w:val="52"/>
          <w:szCs w:val="52"/>
        </w:rPr>
      </w:pPr>
      <w:r>
        <w:rPr>
          <w:rFonts w:ascii="宋体" w:eastAsia="方正小标宋简体" w:cs="黑体" w:hAnsi="宋体" w:hint="eastAsia"/>
          <w:color w:val="000000"/>
          <w:sz w:val="52"/>
          <w:szCs w:val="52"/>
        </w:rPr>
        <w:t>海南省“十四五”市场监管规划</w:t>
      </w:r>
    </w:p>
    <w:p>
      <w:pPr>
        <w:spacing w:line="620" w:lineRule="exact"/>
        <w:textAlignment w:val="baseline"/>
        <w:rPr>
          <w:rFonts w:ascii="宋体"/>
          <w:sz w:val="20"/>
        </w:rPr>
      </w:pPr>
    </w:p>
    <w:p>
      <w:pPr>
        <w:spacing w:line="620" w:lineRule="exact"/>
        <w:textAlignment w:val="baseline"/>
        <w:rPr>
          <w:rFonts w:ascii="宋体"/>
          <w:sz w:val="20"/>
        </w:rPr>
      </w:pPr>
    </w:p>
    <w:p>
      <w:pPr>
        <w:spacing w:line="620" w:lineRule="exact"/>
        <w:textAlignment w:val="baseline"/>
        <w:rPr>
          <w:rFonts w:ascii="宋体"/>
          <w:sz w:val="20"/>
        </w:rPr>
      </w:pPr>
    </w:p>
    <w:p>
      <w:pPr>
        <w:spacing w:line="620" w:lineRule="exact"/>
        <w:textAlignment w:val="baseline"/>
        <w:rPr>
          <w:rFonts w:ascii="宋体"/>
          <w:sz w:val="20"/>
        </w:rPr>
      </w:pPr>
    </w:p>
    <w:p>
      <w:pPr>
        <w:spacing w:line="620" w:lineRule="exact"/>
        <w:textAlignment w:val="baseline"/>
        <w:rPr>
          <w:rFonts w:ascii="宋体"/>
          <w:sz w:val="20"/>
        </w:rPr>
      </w:pPr>
    </w:p>
    <w:p>
      <w:pPr>
        <w:spacing w:line="620" w:lineRule="exact"/>
        <w:textAlignment w:val="baseline"/>
        <w:rPr>
          <w:rFonts w:ascii="宋体"/>
          <w:sz w:val="20"/>
        </w:rPr>
      </w:pPr>
    </w:p>
    <w:p>
      <w:pPr>
        <w:spacing w:line="620" w:lineRule="exact"/>
        <w:textAlignment w:val="baseline"/>
        <w:rPr>
          <w:rFonts w:ascii="宋体"/>
          <w:sz w:val="20"/>
        </w:rPr>
      </w:pPr>
    </w:p>
    <w:p>
      <w:pPr>
        <w:spacing w:line="620" w:lineRule="exact"/>
        <w:textAlignment w:val="baseline"/>
        <w:rPr>
          <w:rFonts w:ascii="宋体"/>
          <w:sz w:val="20"/>
        </w:rPr>
      </w:pPr>
    </w:p>
    <w:p>
      <w:pPr>
        <w:spacing w:line="620" w:lineRule="exact"/>
        <w:textAlignment w:val="baseline"/>
        <w:rPr>
          <w:rFonts w:ascii="宋体"/>
          <w:sz w:val="20"/>
        </w:rPr>
      </w:pPr>
    </w:p>
    <w:p>
      <w:pPr>
        <w:spacing w:line="620" w:lineRule="exact"/>
        <w:textAlignment w:val="baseline"/>
        <w:rPr>
          <w:rFonts w:ascii="宋体"/>
          <w:sz w:val="20"/>
        </w:rPr>
      </w:pPr>
    </w:p>
    <w:p>
      <w:pPr>
        <w:spacing w:line="620" w:lineRule="exact"/>
        <w:textAlignment w:val="baseline"/>
        <w:rPr>
          <w:rFonts w:ascii="宋体"/>
          <w:sz w:val="20"/>
        </w:rPr>
      </w:pPr>
    </w:p>
    <w:p>
      <w:pPr>
        <w:spacing w:line="620" w:lineRule="exact"/>
        <w:jc w:val="center"/>
        <w:textAlignment w:val="baseline"/>
        <w:rPr>
          <w:rFonts w:ascii="宋体" w:eastAsia="黑体" w:hAnsi="宋体"/>
          <w:sz w:val="32"/>
          <w:szCs w:val="32"/>
        </w:rPr>
      </w:pPr>
    </w:p>
    <w:p>
      <w:pPr>
        <w:spacing w:line="620" w:lineRule="exact"/>
        <w:jc w:val="center"/>
        <w:textAlignment w:val="baseline"/>
        <w:rPr>
          <w:rFonts w:ascii="宋体" w:eastAsia="黑体" w:hAnsi="宋体"/>
          <w:sz w:val="32"/>
          <w:szCs w:val="32"/>
        </w:rPr>
      </w:pPr>
      <w:r>
        <w:rPr>
          <w:rFonts w:ascii="宋体" w:eastAsia="黑体" w:hAnsi="宋体"/>
          <w:sz w:val="32"/>
          <w:szCs w:val="32"/>
        </w:rPr>
        <w:t>2021</w:t>
      </w:r>
      <w:r>
        <w:rPr>
          <w:rFonts w:ascii="宋体" w:eastAsia="黑体" w:hAnsi="宋体" w:hint="eastAsia"/>
          <w:sz w:val="32"/>
          <w:szCs w:val="32"/>
        </w:rPr>
        <w:t>年</w:t>
      </w:r>
      <w:r>
        <w:rPr>
          <w:rFonts w:ascii="宋体" w:eastAsia="黑体" w:hAnsi="宋体"/>
          <w:sz w:val="32"/>
          <w:szCs w:val="32"/>
        </w:rPr>
        <w:t>5</w:t>
      </w:r>
      <w:r>
        <w:rPr>
          <w:rFonts w:ascii="宋体" w:eastAsia="黑体" w:hAnsi="宋体" w:hint="eastAsia"/>
          <w:sz w:val="32"/>
          <w:szCs w:val="32"/>
        </w:rPr>
        <w:t>月</w:t>
      </w:r>
    </w:p>
    <w:p>
      <w:pPr>
        <w:spacing w:line="620" w:lineRule="exact"/>
        <w:textAlignment w:val="baseline"/>
        <w:rPr>
          <w:rFonts w:ascii="宋体"/>
          <w:sz w:val="20"/>
        </w:rPr>
        <w:sectPr>
          <w:headerReference w:type="first" r:id="rId2"/>
          <w:footerReference w:type="default" r:id="rId3"/>
          <w:footerReference w:type="even" r:id="rId4"/>
          <w:pgSz w:w="11906" w:h="16838"/>
          <w:pgMar w:top="2098" w:right="1474" w:bottom="1985" w:left="1588" w:header="851" w:footer="1191" w:gutter="0"/>
          <w:pgNumType w:start="1"/>
          <w:titlePg/>
          <w:docGrid w:type="lines" w:linePitch="312" w:charSpace="0"/>
        </w:sectPr>
      </w:pPr>
    </w:p>
    <w:p>
      <w:pPr>
        <w:pStyle w:val="36"/>
        <w:keepNext w:val="0"/>
        <w:keepLines w:val="0"/>
        <w:widowControl w:val="0"/>
        <w:spacing w:after="468" w:line="620" w:lineRule="exact"/>
        <w:jc w:val="center"/>
        <w:textAlignment w:val="baseline"/>
        <w:rPr>
          <w:rFonts w:ascii="宋体" w:eastAsia="方正小标宋简体" w:hAnsi="宋体"/>
          <w:color w:val="000000"/>
          <w:sz w:val="44"/>
          <w:szCs w:val="44"/>
          <w:lang w:val="zh-CN"/>
        </w:rPr>
      </w:pPr>
      <w:r>
        <w:rPr>
          <w:rFonts w:ascii="宋体" w:eastAsia="方正小标宋简体" w:hAnsi="宋体" w:hint="eastAsia"/>
          <w:color w:val="000000"/>
          <w:sz w:val="44"/>
          <w:szCs w:val="44"/>
          <w:lang w:val="zh-CN"/>
        </w:rPr>
        <w:t>目录</w:t>
      </w:r>
    </w:p>
    <w:p>
      <w:pPr>
        <w:spacing w:line="620" w:lineRule="exact"/>
        <w:textAlignment w:val="baseline"/>
        <w:rPr>
          <w:rFonts w:ascii="宋体"/>
          <w:sz w:val="20"/>
        </w:rPr>
      </w:pPr>
    </w:p>
    <w:p>
      <w:pPr>
        <w:pStyle w:val="21"/>
        <w:tabs>
          <w:tab w:val="right" w:leader="dot" w:pos="8834"/>
        </w:tabs>
        <w:textAlignment w:val="baseline"/>
        <w:rPr>
          <w:rFonts w:ascii="宋体" w:eastAsia="宋体" w:cs="黑体"/>
          <w:kern w:val="2"/>
          <w:sz w:val="21"/>
        </w:rPr>
      </w:pPr>
      <w:r>
        <w:rPr>
          <w:rFonts w:ascii="宋体" w:hAnsi="宋体"/>
        </w:rPr>
        <w:fldChar w:fldCharType="begin"/>
      </w:r>
      <w:r>
        <w:rPr>
          <w:rFonts w:ascii="宋体" w:hAnsi="宋体"/>
        </w:rPr>
        <w:instrText xml:space="preserve"> TOC \o "1-2" \h \z \u </w:instrText>
      </w:r>
      <w:r>
        <w:rPr>
          <w:rFonts w:ascii="宋体" w:hAnsi="宋体"/>
        </w:rPr>
        <w:fldChar w:fldCharType="separate"/>
      </w:r>
      <w:r>
        <w:fldChar w:fldCharType="begin"/>
      </w:r>
      <w:r>
        <w:instrText>Hyperlink \l "_Toc67532129"</w:instrText>
      </w:r>
      <w:r>
        <w:fldChar w:fldCharType="separate"/>
      </w:r>
      <w:r>
        <w:rPr>
          <w:rFonts w:ascii="宋体" w:hAnsi="宋体"/>
          <w:color w:val="auto"/>
          <w:u w:color="0563C1"/>
        </w:rPr>
        <w:t>一、发展环境</w:t>
      </w:r>
      <w:r>
        <w:rPr>
          <w:rFonts w:ascii="宋体" w:hAnsi="宋体"/>
        </w:rPr>
        <w:tab/>
      </w:r>
      <w:r>
        <w:rPr>
          <w:rFonts w:ascii="宋体" w:hAnsi="宋体"/>
        </w:rPr>
        <w:fldChar w:fldCharType="begin"/>
      </w:r>
      <w:r>
        <w:rPr>
          <w:rFonts w:ascii="宋体" w:hAnsi="宋体"/>
        </w:rPr>
        <w:instrText xml:space="preserve"> PAGEREF _Toc67532129 \h </w:instrText>
      </w:r>
      <w:r>
        <w:rPr>
          <w:rFonts w:ascii="宋体" w:hAnsi="宋体"/>
        </w:rPr>
        <w:fldChar w:fldCharType="separate"/>
      </w:r>
      <w:r>
        <w:rPr>
          <w:rFonts w:ascii="宋体" w:hAnsi="宋体"/>
        </w:rPr>
        <w:t>1</w:t>
      </w:r>
      <w:r>
        <w:rPr>
          <w:rFonts w:ascii="宋体" w:hAnsi="宋体"/>
        </w:rPr>
        <w:fldChar w:fldCharType="end"/>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"_Toc67532130"</w:instrText>
      </w:r>
      <w:r>
        <w:fldChar w:fldCharType="separate"/>
      </w:r>
      <w:r>
        <w:rPr>
          <w:rStyle w:val="22Char"/>
          <w:rFonts w:ascii="宋体" w:eastAsia="楷体_GB2312" w:hAnsi="宋体" w:hint="eastAsia"/>
          <w:b w:val="0"/>
        </w:rPr>
        <w:t>（一）“十三五”时期市场监管改革发展取得积极成效</w:t>
      </w:r>
      <w:r>
        <w:rPr>
          <w:rFonts w:ascii="宋体" w:eastAsia="仿宋_GB2312" w:hAnsi="宋体"/>
          <w:color w:val="auto"/>
          <w:u w:color="0563C1"/>
        </w:rPr>
        <w:tab/>
      </w:r>
      <w:r>
        <w:rPr>
          <w:rFonts w:ascii="宋体" w:hAnsi="宋体"/>
        </w:rPr>
        <w:fldChar w:fldCharType="begin"/>
      </w:r>
      <w:r>
        <w:rPr>
          <w:rFonts w:ascii="宋体" w:hAnsi="宋体"/>
        </w:rPr>
        <w:instrText xml:space="preserve"> PAGEREF _Toc67532130 \h </w:instrText>
      </w:r>
      <w:r>
        <w:rPr>
          <w:rFonts w:ascii="宋体" w:hAnsi="宋体"/>
        </w:rPr>
        <w:fldChar w:fldCharType="separate"/>
      </w:r>
      <w:r>
        <w:rPr>
          <w:rFonts w:ascii="宋体" w:hAnsi="宋体"/>
        </w:rPr>
        <w:t>1</w:t>
      </w:r>
      <w:r>
        <w:rPr>
          <w:rFonts w:ascii="宋体" w:hAnsi="宋体"/>
        </w:rPr>
        <w:fldChar w:fldCharType="end"/>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"_Toc67532131"</w:instrText>
      </w:r>
      <w:r>
        <w:fldChar w:fldCharType="separate"/>
      </w:r>
      <w:r>
        <w:rPr>
          <w:rStyle w:val="22Char"/>
          <w:rFonts w:ascii="宋体" w:eastAsia="楷体_GB2312" w:hAnsi="宋体" w:hint="eastAsia"/>
          <w:b w:val="0"/>
        </w:rPr>
        <w:t>（二）建设高标准市场体系面临的新形势新要求</w:t>
      </w:r>
      <w:r>
        <w:rPr>
          <w:rFonts w:ascii="宋体" w:eastAsia="仿宋_GB2312" w:hAnsi="宋体"/>
          <w:color w:val="auto"/>
          <w:u w:color="0563C1"/>
        </w:rPr>
        <w:tab/>
      </w:r>
      <w:r>
        <w:rPr>
          <w:rFonts w:ascii="宋体" w:hAnsi="宋体"/>
        </w:rPr>
        <w:fldChar w:fldCharType="begin"/>
      </w:r>
      <w:r>
        <w:rPr>
          <w:rFonts w:ascii="宋体" w:hAnsi="宋体"/>
        </w:rPr>
        <w:instrText xml:space="preserve"> PAGEREF _Toc67532131 \h </w:instrText>
      </w:r>
      <w:r>
        <w:rPr>
          <w:rFonts w:ascii="宋体" w:hAnsi="宋体"/>
        </w:rPr>
        <w:fldChar w:fldCharType="separate"/>
      </w:r>
      <w:r>
        <w:rPr>
          <w:rFonts w:ascii="宋体" w:hAnsi="宋体"/>
        </w:rPr>
        <w:t>5</w:t>
      </w:r>
      <w:r>
        <w:rPr>
          <w:rFonts w:ascii="宋体" w:hAnsi="宋体"/>
        </w:rPr>
        <w:fldChar w:fldCharType="end"/>
      </w:r>
      <w:r>
        <w:fldChar w:fldCharType="end"/>
      </w:r>
    </w:p>
    <w:p>
      <w:pPr>
        <w:pStyle w:val="21"/>
        <w:tabs>
          <w:tab w:val="right" w:leader="dot" w:pos="8834"/>
        </w:tabs>
        <w:spacing w:before="100"/>
        <w:textAlignment w:val="baseline"/>
        <w:rPr>
          <w:rFonts w:ascii="宋体" w:eastAsia="宋体" w:cs="黑体"/>
          <w:kern w:val="2"/>
          <w:sz w:val="21"/>
        </w:rPr>
      </w:pPr>
      <w:r>
        <w:fldChar w:fldCharType="begin"/>
      </w:r>
      <w:r>
        <w:instrText>Hyperlink \l "_Toc67532132"</w:instrText>
      </w:r>
      <w:r>
        <w:fldChar w:fldCharType="separate"/>
      </w:r>
      <w:r>
        <w:rPr>
          <w:rFonts w:ascii="宋体" w:hAnsi="宋体"/>
          <w:color w:val="auto"/>
          <w:u w:color="0563C1"/>
          <w:shd w:val="clear" w:color="auto" w:fill="FFFFFF"/>
        </w:rPr>
        <w:t>二、总体要求</w:t>
      </w:r>
      <w:r>
        <w:rPr>
          <w:rFonts w:ascii="宋体" w:hAnsi="宋体"/>
        </w:rPr>
        <w:tab/>
        <w:t>6</w:t>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"_Toc67532133"</w:instrText>
      </w:r>
      <w:r>
        <w:fldChar w:fldCharType="separate"/>
      </w:r>
      <w:r>
        <w:rPr>
          <w:rStyle w:val="22Char"/>
          <w:rFonts w:ascii="宋体" w:eastAsia="楷体_GB2312" w:hAnsi="宋体" w:hint="eastAsia"/>
          <w:b w:val="0"/>
        </w:rPr>
        <w:t>（三）指导思想</w:t>
      </w:r>
      <w:r>
        <w:rPr>
          <w:rFonts w:ascii="宋体" w:eastAsia="仿宋_GB2312" w:hAnsi="宋体"/>
          <w:color w:val="auto"/>
          <w:u w:color="0563C1"/>
        </w:rPr>
        <w:tab/>
      </w:r>
      <w:r>
        <w:rPr>
          <w:rFonts w:ascii="宋体" w:hAnsi="宋体"/>
        </w:rPr>
        <w:t>6</w:t>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"_Toc67532134"</w:instrText>
      </w:r>
      <w:r>
        <w:fldChar w:fldCharType="separate"/>
      </w:r>
      <w:r>
        <w:rPr>
          <w:rStyle w:val="22Char"/>
          <w:rFonts w:ascii="宋体" w:eastAsia="楷体_GB2312" w:hAnsi="宋体" w:hint="eastAsia"/>
          <w:b w:val="0"/>
        </w:rPr>
        <w:t>（四）基本原则</w:t>
      </w:r>
      <w:r>
        <w:rPr>
          <w:rFonts w:ascii="宋体" w:eastAsia="仿宋_GB2312" w:hAnsi="宋体"/>
          <w:color w:val="auto"/>
          <w:u w:color="0563C1"/>
        </w:rPr>
        <w:tab/>
      </w:r>
      <w:r>
        <w:fldChar w:fldCharType="end"/>
      </w:r>
      <w:r>
        <w:rPr>
          <w:rFonts w:ascii="宋体" w:hAnsi="宋体"/>
        </w:rPr>
        <w:t>7</w:t>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"_Toc67532135"</w:instrText>
      </w:r>
      <w:r>
        <w:fldChar w:fldCharType="separate"/>
      </w:r>
      <w:r>
        <w:rPr>
          <w:rStyle w:val="22Char"/>
          <w:rFonts w:ascii="宋体" w:eastAsia="楷体_GB2312" w:hAnsi="宋体" w:hint="eastAsia"/>
          <w:b w:val="0"/>
        </w:rPr>
        <w:t>（五）总体目标</w:t>
      </w:r>
      <w:r>
        <w:rPr>
          <w:rFonts w:ascii="宋体" w:eastAsia="仿宋_GB2312" w:hAnsi="宋体"/>
          <w:color w:val="auto"/>
          <w:u w:color="0563C1"/>
        </w:rPr>
        <w:tab/>
      </w:r>
      <w:r>
        <w:rPr>
          <w:rFonts w:ascii="宋体" w:hAnsi="宋体" w:hint="eastAsia"/>
        </w:rPr>
        <w:t>8</w:t>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"_Toc67532136"</w:instrText>
      </w:r>
      <w:r>
        <w:fldChar w:fldCharType="separate"/>
      </w:r>
      <w:r>
        <w:rPr>
          <w:rStyle w:val="22Char"/>
          <w:rFonts w:ascii="宋体" w:eastAsia="楷体_GB2312" w:hAnsi="宋体" w:hint="eastAsia"/>
          <w:b w:val="0"/>
        </w:rPr>
        <w:t>（六）“十四五”期间市场监管具体指标</w:t>
      </w:r>
      <w:r>
        <w:rPr>
          <w:rFonts w:ascii="宋体" w:eastAsia="仿宋_GB2312" w:hAnsi="宋体"/>
          <w:color w:val="auto"/>
          <w:u w:color="0563C1"/>
        </w:rPr>
        <w:tab/>
      </w:r>
      <w:r>
        <w:rPr>
          <w:rFonts w:ascii="宋体" w:hAnsi="宋体"/>
        </w:rPr>
        <w:fldChar w:fldCharType="begin"/>
      </w:r>
      <w:r>
        <w:rPr>
          <w:rFonts w:ascii="宋体" w:hAnsi="宋体"/>
        </w:rPr>
        <w:instrText xml:space="preserve"> PAGEREF _Toc67532136 \h </w:instrText>
      </w:r>
      <w:r>
        <w:rPr>
          <w:rFonts w:ascii="宋体" w:hAnsi="宋体"/>
        </w:rPr>
        <w:fldChar w:fldCharType="separate"/>
      </w:r>
      <w:r>
        <w:rPr>
          <w:rFonts w:ascii="宋体" w:hAnsi="宋体"/>
        </w:rPr>
        <w:t>9</w:t>
      </w:r>
      <w:r>
        <w:rPr>
          <w:rFonts w:ascii="宋体" w:hAnsi="宋体"/>
        </w:rPr>
        <w:fldChar w:fldCharType="end"/>
      </w:r>
      <w:r>
        <w:fldChar w:fldCharType="end"/>
      </w:r>
    </w:p>
    <w:p>
      <w:pPr>
        <w:pStyle w:val="21"/>
        <w:tabs>
          <w:tab w:val="right" w:leader="dot" w:pos="8834"/>
        </w:tabs>
        <w:spacing w:before="100"/>
        <w:textAlignment w:val="baseline"/>
        <w:rPr>
          <w:rStyle w:val="28"/>
          <w:color w:val="auto"/>
          <w:u w:color="0563C1"/>
          <w:shd w:val="clear" w:color="auto" w:fill="FFFFFF"/>
        </w:rPr>
      </w:pPr>
      <w:r>
        <w:fldChar w:fldCharType="begin"/>
      </w:r>
      <w:r>
        <w:instrText>Hyperlink \l "_Toc67532137"</w:instrText>
      </w:r>
      <w:r>
        <w:fldChar w:fldCharType="separate"/>
      </w:r>
      <w:r>
        <w:rPr>
          <w:rFonts w:ascii="宋体" w:hAnsi="宋体"/>
          <w:color w:val="auto"/>
          <w:u w:color="0563C1"/>
          <w:shd w:val="clear" w:color="auto" w:fill="FFFFFF"/>
        </w:rPr>
        <w:t>三、深化“放管服”改革，打造营商环境“海南样板”</w:t>
      </w:r>
      <w:r>
        <w:rPr>
          <w:color w:val="auto"/>
          <w:u w:color="0563C1"/>
          <w:shd w:val="clear" w:color="auto" w:fill="FFFFFF"/>
        </w:rPr>
        <w:tab/>
        <w:t>10</w:t>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"_Toc67532138"</w:instrText>
      </w:r>
      <w:r>
        <w:fldChar w:fldCharType="separate"/>
      </w:r>
      <w:r>
        <w:rPr>
          <w:rStyle w:val="22Char"/>
          <w:rFonts w:ascii="宋体" w:eastAsia="楷体_GB2312" w:hAnsi="宋体" w:hint="eastAsia"/>
          <w:b w:val="0"/>
        </w:rPr>
        <w:t>（七）进一步简政放权</w:t>
      </w:r>
      <w:r>
        <w:rPr>
          <w:rFonts w:ascii="宋体" w:eastAsia="仿宋_GB2312" w:hAnsi="宋体"/>
          <w:color w:val="auto"/>
          <w:u w:color="0563C1"/>
        </w:rPr>
        <w:tab/>
      </w:r>
      <w:r>
        <w:rPr>
          <w:rFonts w:ascii="宋体" w:hAnsi="宋体"/>
        </w:rPr>
        <w:fldChar w:fldCharType="begin"/>
      </w:r>
      <w:r>
        <w:rPr>
          <w:rFonts w:ascii="宋体" w:hAnsi="宋体"/>
        </w:rPr>
        <w:instrText xml:space="preserve"> PAGEREF _Toc67532138 \h </w:instrText>
      </w:r>
      <w:r>
        <w:rPr>
          <w:rFonts w:ascii="宋体" w:hAnsi="宋体"/>
        </w:rPr>
        <w:fldChar w:fldCharType="separate"/>
      </w:r>
      <w:r>
        <w:rPr>
          <w:rFonts w:ascii="宋体" w:hAnsi="宋体"/>
        </w:rPr>
        <w:t>10</w:t>
      </w:r>
      <w:r>
        <w:rPr>
          <w:rFonts w:ascii="宋体" w:hAnsi="宋体"/>
        </w:rPr>
        <w:fldChar w:fldCharType="end"/>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"_Toc67532139"</w:instrText>
      </w:r>
      <w:r>
        <w:fldChar w:fldCharType="separate"/>
      </w:r>
      <w:r>
        <w:rPr>
          <w:rFonts w:ascii="宋体" w:eastAsia="楷体_GB2312" w:hAnsi="宋体" w:hint="eastAsia"/>
          <w:color w:val="auto"/>
          <w:u w:color="0563C1"/>
        </w:rPr>
        <w:t>（八）</w:t>
      </w:r>
      <w:r>
        <w:rPr>
          <w:rStyle w:val="22Char"/>
          <w:rFonts w:ascii="宋体" w:eastAsia="楷体_GB2312" w:hAnsi="宋体" w:hint="eastAsia"/>
          <w:b w:val="0"/>
        </w:rPr>
        <w:t>深化市场主体准入制度改革</w:t>
      </w:r>
      <w:r>
        <w:rPr>
          <w:rFonts w:ascii="宋体" w:eastAsia="仿宋_GB2312" w:hAnsi="宋体"/>
          <w:color w:val="auto"/>
          <w:u w:color="0563C1"/>
        </w:rPr>
        <w:tab/>
      </w:r>
      <w:r>
        <w:rPr>
          <w:rFonts w:ascii="宋体" w:hAnsi="宋体"/>
        </w:rPr>
        <w:fldChar w:fldCharType="begin"/>
      </w:r>
      <w:r>
        <w:rPr>
          <w:rFonts w:ascii="宋体" w:hAnsi="宋体"/>
        </w:rPr>
        <w:instrText xml:space="preserve"> PAGEREF _Toc67532139 \h </w:instrText>
      </w:r>
      <w:r>
        <w:rPr>
          <w:rFonts w:ascii="宋体" w:hAnsi="宋体"/>
        </w:rPr>
        <w:fldChar w:fldCharType="separate"/>
      </w:r>
      <w:r>
        <w:rPr>
          <w:rFonts w:ascii="宋体" w:hAnsi="宋体"/>
        </w:rPr>
        <w:t>10</w:t>
      </w:r>
      <w:r>
        <w:rPr>
          <w:rFonts w:ascii="宋体" w:hAnsi="宋体"/>
        </w:rPr>
        <w:fldChar w:fldCharType="end"/>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"_Toc67532140"</w:instrText>
      </w:r>
      <w:r>
        <w:fldChar w:fldCharType="separate"/>
      </w:r>
      <w:r>
        <w:rPr>
          <w:rFonts w:ascii="宋体" w:eastAsia="楷体_GB2312" w:hAnsi="宋体" w:hint="eastAsia"/>
          <w:color w:val="auto"/>
          <w:u w:color="0563C1"/>
        </w:rPr>
        <w:t>（九）</w:t>
      </w:r>
      <w:r>
        <w:rPr>
          <w:rStyle w:val="22Char"/>
          <w:rFonts w:ascii="宋体" w:eastAsia="楷体_GB2312" w:hAnsi="宋体" w:hint="eastAsia"/>
          <w:b w:val="0"/>
        </w:rPr>
        <w:t>推进产品准入制度改革</w:t>
      </w:r>
      <w:r>
        <w:rPr>
          <w:rFonts w:ascii="宋体" w:eastAsia="仿宋_GB2312" w:hAnsi="宋体"/>
          <w:color w:val="auto"/>
          <w:u w:color="0563C1"/>
        </w:rPr>
        <w:tab/>
      </w:r>
      <w:r>
        <w:rPr>
          <w:rFonts w:ascii="宋体" w:hAnsi="宋体"/>
        </w:rPr>
        <w:fldChar w:fldCharType="begin"/>
      </w:r>
      <w:r>
        <w:rPr>
          <w:rFonts w:ascii="宋体" w:hAnsi="宋体"/>
        </w:rPr>
        <w:instrText xml:space="preserve"> PAGEREF _Toc67532140 \h </w:instrText>
      </w:r>
      <w:r>
        <w:rPr>
          <w:rFonts w:ascii="宋体" w:hAnsi="宋体"/>
        </w:rPr>
        <w:fldChar w:fldCharType="separate"/>
      </w:r>
      <w:r>
        <w:rPr>
          <w:rFonts w:ascii="宋体" w:hAnsi="宋体"/>
        </w:rPr>
        <w:t>11</w:t>
      </w:r>
      <w:r>
        <w:rPr>
          <w:rFonts w:ascii="宋体" w:hAnsi="宋体"/>
        </w:rPr>
        <w:fldChar w:fldCharType="end"/>
      </w:r>
      <w:r>
        <w:fldChar w:fldCharType="end"/>
      </w:r>
    </w:p>
    <w:p>
      <w:pPr>
        <w:pStyle w:val="23"/>
        <w:tabs>
          <w:tab w:val="right" w:leader="dot" w:pos="8834"/>
        </w:tabs>
        <w:spacing w:line="620" w:lineRule="exact"/>
        <w:textAlignment w:val="baseline"/>
        <w:rPr>
          <w:rFonts w:ascii="宋体" w:hAnsi="宋体"/>
        </w:rPr>
      </w:pPr>
      <w:r>
        <w:fldChar w:fldCharType="begin"/>
      </w:r>
      <w:r>
        <w:instrText>Hyperlink \l "_Toc67532141"</w:instrText>
      </w:r>
      <w:r>
        <w:fldChar w:fldCharType="separate"/>
      </w:r>
      <w:r>
        <w:rPr>
          <w:rStyle w:val="22Char"/>
          <w:rFonts w:ascii="宋体" w:eastAsia="楷体_GB2312" w:hAnsi="宋体" w:hint="eastAsia"/>
          <w:b w:val="0"/>
        </w:rPr>
        <w:t>（十）提高政府公共服务效率</w:t>
      </w:r>
      <w:r>
        <w:rPr>
          <w:rFonts w:ascii="宋体" w:eastAsia="仿宋_GB2312" w:hAnsi="宋体"/>
          <w:color w:val="auto"/>
          <w:u w:color="0563C1"/>
        </w:rPr>
        <w:tab/>
      </w:r>
      <w:r>
        <w:rPr>
          <w:rFonts w:ascii="宋体" w:hAnsi="宋体"/>
        </w:rPr>
        <w:fldChar w:fldCharType="begin"/>
      </w:r>
      <w:r>
        <w:rPr>
          <w:rFonts w:ascii="宋体" w:hAnsi="宋体"/>
        </w:rPr>
        <w:instrText xml:space="preserve"> PAGEREF _Toc67532141 \h </w:instrText>
      </w:r>
      <w:r>
        <w:rPr>
          <w:rFonts w:ascii="宋体" w:hAnsi="宋体"/>
        </w:rPr>
        <w:fldChar w:fldCharType="separate"/>
      </w:r>
      <w:r>
        <w:rPr>
          <w:rFonts w:ascii="宋体" w:hAnsi="宋体"/>
        </w:rPr>
        <w:t>11</w:t>
      </w:r>
      <w:r>
        <w:rPr>
          <w:rFonts w:ascii="宋体" w:hAnsi="宋体"/>
        </w:rPr>
        <w:fldChar w:fldCharType="end"/>
      </w:r>
      <w:r>
        <w:fldChar w:fldCharType="end"/>
      </w:r>
    </w:p>
    <w:p>
      <w:pPr>
        <w:pStyle w:val="23"/>
        <w:tabs>
          <w:tab w:val="right" w:leader="dot" w:pos="8834"/>
        </w:tabs>
        <w:spacing w:line="620" w:lineRule="exact"/>
        <w:textAlignment w:val="baseline"/>
        <w:rPr>
          <w:rFonts w:ascii="宋体" w:hAnsi="宋体"/>
        </w:rPr>
      </w:pPr>
      <w:r>
        <w:fldChar w:fldCharType="begin"/>
      </w:r>
      <w:r>
        <w:instrText>Hyperlink \l "_Toc67532141"</w:instrText>
      </w:r>
      <w:r>
        <w:fldChar w:fldCharType="separate"/>
      </w:r>
      <w:r>
        <w:rPr>
          <w:rFonts w:ascii="宋体" w:eastAsia="楷体_GB2312" w:cs="宋体" w:hAnsi="宋体" w:hint="eastAsia"/>
          <w:szCs w:val="32"/>
        </w:rPr>
        <w:t>（十一）提高市场主体质量</w:t>
      </w:r>
      <w:r>
        <w:rPr>
          <w:rFonts w:ascii="宋体" w:eastAsia="仿宋_GB2312" w:hAnsi="宋体"/>
          <w:color w:val="auto"/>
          <w:u w:color="0563C1"/>
        </w:rPr>
        <w:tab/>
        <w:t>12</w:t>
      </w:r>
      <w:r>
        <w:fldChar w:fldCharType="end"/>
      </w:r>
    </w:p>
    <w:p>
      <w:pPr>
        <w:pStyle w:val="21"/>
        <w:tabs>
          <w:tab w:val="right" w:leader="dot" w:pos="8834"/>
        </w:tabs>
        <w:spacing w:before="100"/>
        <w:textAlignment w:val="baseline"/>
        <w:rPr>
          <w:rStyle w:val="28"/>
          <w:color w:val="auto"/>
          <w:u w:color="0563C1"/>
          <w:shd w:val="clear" w:color="auto" w:fill="FFFFFF"/>
        </w:rPr>
      </w:pPr>
      <w:r>
        <w:fldChar w:fldCharType="begin"/>
      </w:r>
      <w:r>
        <w:instrText>Hyperlink \l "_Toc67532142"</w:instrText>
      </w:r>
      <w:r>
        <w:fldChar w:fldCharType="separate"/>
      </w:r>
      <w:r>
        <w:rPr>
          <w:rFonts w:ascii="宋体" w:hAnsi="宋体"/>
          <w:color w:val="auto"/>
          <w:u w:color="0563C1"/>
          <w:shd w:val="clear" w:color="auto" w:fill="FFFFFF"/>
        </w:rPr>
        <w:t>四、服务新发展格局，构建现代化市场监管制度</w:t>
      </w:r>
      <w:r>
        <w:rPr>
          <w:color w:val="auto"/>
          <w:u w:color="0563C1"/>
          <w:shd w:val="clear" w:color="auto" w:fill="FFFFFF"/>
        </w:rPr>
        <w:tab/>
      </w:r>
      <w:r>
        <w:rPr>
          <w:rStyle w:val="28"/>
          <w:color w:val="auto"/>
          <w:u w:color="0563C1"/>
          <w:shd w:val="clear" w:color="auto" w:fill="FFFFFF"/>
        </w:rPr>
        <w:fldChar w:fldCharType="begin"/>
      </w:r>
      <w:r>
        <w:rPr>
          <w:rStyle w:val="28"/>
          <w:color w:val="auto"/>
          <w:u w:color="0563C1"/>
          <w:shd w:val="clear" w:color="auto" w:fill="FFFFFF"/>
        </w:rPr>
        <w:instrText xml:space="preserve"> PAGEREF _Toc67532142 \h </w:instrText>
      </w:r>
      <w:r>
        <w:rPr>
          <w:rStyle w:val="28"/>
          <w:color w:val="auto"/>
          <w:u w:color="0563C1"/>
          <w:shd w:val="clear" w:color="auto" w:fill="FFFFFF"/>
        </w:rPr>
        <w:fldChar w:fldCharType="separate"/>
      </w:r>
      <w:r>
        <w:rPr>
          <w:color w:val="auto"/>
          <w:u w:color="0563C1"/>
          <w:shd w:val="clear" w:color="auto" w:fill="FFFFFF"/>
        </w:rPr>
        <w:t>13</w:t>
      </w:r>
      <w:r>
        <w:rPr>
          <w:rStyle w:val="28"/>
          <w:color w:val="auto"/>
          <w:u w:color="0563C1"/>
          <w:shd w:val="clear" w:color="auto" w:fill="FFFFFF"/>
        </w:rPr>
        <w:fldChar w:fldCharType="end"/>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"_Toc67532143"</w:instrText>
      </w:r>
      <w:r>
        <w:fldChar w:fldCharType="separate"/>
      </w:r>
      <w:r>
        <w:rPr>
          <w:rFonts w:ascii="宋体" w:eastAsia="楷体_GB2312" w:cs="宋体" w:hAnsi="宋体" w:hint="eastAsia"/>
          <w:szCs w:val="32"/>
        </w:rPr>
        <w:t>（十二）强化竞争政策基础地位</w:t>
      </w:r>
      <w:r>
        <w:rPr>
          <w:rFonts w:ascii="宋体" w:eastAsia="仿宋_GB2312" w:hAnsi="宋体"/>
          <w:color w:val="auto"/>
          <w:u w:color="0563C1"/>
        </w:rPr>
        <w:tab/>
      </w:r>
      <w:r>
        <w:rPr>
          <w:rFonts w:ascii="宋体" w:hAnsi="宋体"/>
        </w:rPr>
        <w:fldChar w:fldCharType="begin"/>
      </w:r>
      <w:r>
        <w:rPr>
          <w:rFonts w:ascii="宋体" w:hAnsi="宋体"/>
        </w:rPr>
        <w:instrText xml:space="preserve"> PAGEREF _Toc67532143 \h </w:instrText>
      </w:r>
      <w:r>
        <w:rPr>
          <w:rFonts w:ascii="宋体" w:hAnsi="宋体"/>
        </w:rPr>
        <w:fldChar w:fldCharType="separate"/>
      </w:r>
      <w:r>
        <w:rPr>
          <w:rFonts w:ascii="宋体" w:hAnsi="宋体"/>
        </w:rPr>
        <w:t>13</w:t>
      </w:r>
      <w:r>
        <w:rPr>
          <w:rFonts w:ascii="宋体" w:hAnsi="宋体"/>
        </w:rPr>
        <w:fldChar w:fldCharType="end"/>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"_Toc67532144"</w:instrText>
      </w:r>
      <w:r>
        <w:fldChar w:fldCharType="separate"/>
      </w:r>
      <w:r>
        <w:rPr>
          <w:rFonts w:ascii="楷体_GB2312" w:eastAsia="楷体_GB2312" w:cs="宋体" w:hint="eastAsia"/>
          <w:bCs/>
        </w:rPr>
        <w:t>（十三）完善以信用监管为基础的市场监管机制</w:t>
      </w:r>
      <w:r>
        <w:rPr>
          <w:rFonts w:ascii="宋体" w:eastAsia="楷体_GB2312" w:hAnsi="宋体"/>
          <w:color w:val="auto"/>
          <w:u w:color="0563C1"/>
        </w:rPr>
        <w:tab/>
      </w:r>
      <w:r>
        <w:rPr>
          <w:rFonts w:ascii="宋体" w:eastAsia="楷体_GB2312" w:hAnsi="宋体" w:hint="eastAsia"/>
        </w:rPr>
        <w:fldChar w:fldCharType="begin"/>
      </w:r>
      <w:r>
        <w:rPr>
          <w:rFonts w:ascii="宋体" w:eastAsia="楷体_GB2312" w:hAnsi="宋体" w:hint="eastAsia"/>
        </w:rPr>
        <w:instrText xml:space="preserve"> PAGEREF _Toc67532144 \h </w:instrText>
      </w:r>
      <w:r>
        <w:rPr>
          <w:rFonts w:ascii="宋体" w:eastAsia="楷体_GB2312" w:hAnsi="宋体" w:hint="eastAsia"/>
        </w:rPr>
        <w:fldChar w:fldCharType="separate"/>
      </w:r>
      <w:r>
        <w:rPr>
          <w:rFonts w:ascii="宋体" w:eastAsia="楷体_GB2312" w:hAnsi="宋体"/>
        </w:rPr>
        <w:t>14</w:t>
      </w:r>
      <w:r>
        <w:rPr>
          <w:rFonts w:ascii="宋体" w:eastAsia="楷体_GB2312" w:hAnsi="宋体" w:hint="eastAsia"/>
        </w:rPr>
        <w:fldChar w:fldCharType="end"/>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"_Toc67532145"</w:instrText>
      </w:r>
      <w:r>
        <w:fldChar w:fldCharType="separate"/>
      </w:r>
      <w:r>
        <w:rPr>
          <w:rFonts w:ascii="宋体" w:eastAsia="楷体_GB2312" w:hAnsi="宋体" w:hint="eastAsia"/>
          <w:color w:val="auto"/>
          <w:u w:color="0563C1"/>
        </w:rPr>
        <w:t>（十四）完善社会共治</w:t>
      </w:r>
      <w:r>
        <w:rPr>
          <w:rFonts w:ascii="宋体" w:eastAsia="楷体_GB2312" w:hAnsi="宋体"/>
          <w:color w:val="auto"/>
          <w:u w:color="0563C1"/>
        </w:rPr>
        <w:tab/>
      </w:r>
      <w:r>
        <w:rPr>
          <w:rFonts w:ascii="宋体" w:eastAsia="楷体_GB2312" w:hAnsi="宋体" w:hint="eastAsia"/>
        </w:rPr>
        <w:fldChar w:fldCharType="begin"/>
      </w:r>
      <w:r>
        <w:rPr>
          <w:rFonts w:ascii="宋体" w:eastAsia="楷体_GB2312" w:hAnsi="宋体" w:hint="eastAsia"/>
        </w:rPr>
        <w:instrText xml:space="preserve"> PAGEREF _Toc67532145 \h </w:instrText>
      </w:r>
      <w:r>
        <w:rPr>
          <w:rFonts w:ascii="宋体" w:eastAsia="楷体_GB2312" w:hAnsi="宋体" w:hint="eastAsia"/>
        </w:rPr>
        <w:fldChar w:fldCharType="separate"/>
      </w:r>
      <w:r>
        <w:rPr>
          <w:rFonts w:ascii="宋体" w:eastAsia="楷体_GB2312" w:hAnsi="宋体"/>
        </w:rPr>
        <w:t>14</w:t>
      </w:r>
      <w:r>
        <w:rPr>
          <w:rFonts w:ascii="宋体" w:eastAsia="楷体_GB2312" w:hAnsi="宋体" w:hint="eastAsia"/>
        </w:rPr>
        <w:fldChar w:fldCharType="end"/>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"_Toc67532146"</w:instrText>
      </w:r>
      <w:r>
        <w:fldChar w:fldCharType="separate"/>
      </w:r>
      <w:r>
        <w:rPr>
          <w:rFonts w:ascii="宋体" w:eastAsia="楷体_GB2312" w:hAnsi="宋体" w:hint="eastAsia"/>
          <w:color w:val="auto"/>
          <w:u w:color="0563C1"/>
        </w:rPr>
        <w:t>（十五）推进智慧监管</w:t>
      </w:r>
      <w:r>
        <w:rPr>
          <w:rFonts w:ascii="宋体" w:eastAsia="楷体_GB2312" w:hAnsi="宋体"/>
          <w:color w:val="auto"/>
          <w:u w:color="0563C1"/>
        </w:rPr>
        <w:tab/>
      </w:r>
      <w:r>
        <w:rPr>
          <w:rFonts w:ascii="宋体" w:eastAsia="楷体_GB2312" w:hAnsi="宋体" w:hint="eastAsia"/>
        </w:rPr>
        <w:fldChar w:fldCharType="begin"/>
      </w:r>
      <w:r>
        <w:rPr>
          <w:rFonts w:ascii="宋体" w:eastAsia="楷体_GB2312" w:hAnsi="宋体" w:hint="eastAsia"/>
        </w:rPr>
        <w:instrText xml:space="preserve"> PAGEREF _Toc67532146 \h </w:instrText>
      </w:r>
      <w:r>
        <w:rPr>
          <w:rFonts w:ascii="宋体" w:eastAsia="楷体_GB2312" w:hAnsi="宋体" w:hint="eastAsia"/>
        </w:rPr>
        <w:fldChar w:fldCharType="separate"/>
      </w:r>
      <w:r>
        <w:rPr>
          <w:rFonts w:ascii="宋体" w:eastAsia="楷体_GB2312" w:hAnsi="宋体"/>
        </w:rPr>
        <w:t>15</w:t>
      </w:r>
      <w:r>
        <w:rPr>
          <w:rFonts w:ascii="宋体" w:eastAsia="楷体_GB2312" w:hAnsi="宋体" w:hint="eastAsia"/>
        </w:rPr>
        <w:fldChar w:fldCharType="end"/>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"_Toc67532147"</w:instrText>
      </w:r>
      <w:r>
        <w:fldChar w:fldCharType="separate"/>
      </w:r>
      <w:r>
        <w:rPr>
          <w:rFonts w:ascii="宋体" w:eastAsia="楷体_GB2312" w:hAnsi="宋体" w:hint="eastAsia"/>
          <w:color w:val="auto"/>
          <w:u w:color="0563C1"/>
        </w:rPr>
        <w:t>（十</w:t>
      </w:r>
      <w:r>
        <w:rPr>
          <w:rFonts w:cs="宋体" w:hint="eastAsia"/>
          <w:szCs w:val="32"/>
        </w:rPr>
        <w:t>六）试行</w:t>
      </w:r>
      <w:r>
        <w:rPr>
          <w:rFonts w:ascii="宋体" w:eastAsia="楷体_GB2312" w:hAnsi="宋体" w:hint="eastAsia"/>
          <w:color w:val="auto"/>
          <w:u w:color="0563C1"/>
        </w:rPr>
        <w:t>终端产品质量安全监管</w:t>
      </w:r>
      <w:r>
        <w:rPr>
          <w:rFonts w:ascii="宋体" w:eastAsia="楷体_GB2312" w:hAnsi="宋体"/>
          <w:color w:val="auto"/>
          <w:u w:color="0563C1"/>
        </w:rPr>
        <w:tab/>
        <w:t>15</w:t>
      </w:r>
      <w:r>
        <w:fldChar w:fldCharType="end"/>
      </w:r>
    </w:p>
    <w:p>
      <w:pPr>
        <w:pStyle w:val="21"/>
        <w:tabs>
          <w:tab w:val="right" w:leader="dot" w:pos="8834"/>
        </w:tabs>
        <w:spacing w:before="100"/>
        <w:textAlignment w:val="baseline"/>
        <w:rPr>
          <w:rStyle w:val="28"/>
          <w:color w:val="auto"/>
          <w:u w:color="0563C1"/>
          <w:shd w:val="clear" w:color="auto" w:fill="FFFFFF"/>
        </w:rPr>
      </w:pPr>
      <w:r>
        <w:fldChar w:fldCharType="begin"/>
      </w:r>
      <w:r>
        <w:instrText>Hyperlink \l "_Toc67532148"</w:instrText>
      </w:r>
      <w:r>
        <w:fldChar w:fldCharType="separate"/>
      </w:r>
      <w:r>
        <w:rPr>
          <w:rFonts w:ascii="宋体" w:hAnsi="宋体"/>
          <w:color w:val="auto"/>
          <w:u w:color="0563C1"/>
          <w:shd w:val="clear" w:color="auto" w:fill="FFFFFF"/>
        </w:rPr>
        <w:t>五、坚持以人民为中心，加强安全监管</w:t>
      </w:r>
      <w:r>
        <w:rPr>
          <w:color w:val="auto"/>
          <w:u w:color="0563C1"/>
          <w:shd w:val="clear" w:color="auto" w:fill="FFFFFF"/>
        </w:rPr>
        <w:tab/>
      </w:r>
      <w:r>
        <w:rPr>
          <w:rStyle w:val="28"/>
          <w:color w:val="auto"/>
          <w:u w:color="0563C1"/>
          <w:shd w:val="clear" w:color="auto" w:fill="FFFFFF"/>
        </w:rPr>
        <w:fldChar w:fldCharType="begin"/>
      </w:r>
      <w:r>
        <w:rPr>
          <w:rStyle w:val="28"/>
          <w:color w:val="auto"/>
          <w:u w:color="0563C1"/>
          <w:shd w:val="clear" w:color="auto" w:fill="FFFFFF"/>
        </w:rPr>
        <w:instrText xml:space="preserve"> PAGEREF _Toc67532148 \h </w:instrText>
      </w:r>
      <w:r>
        <w:rPr>
          <w:rStyle w:val="28"/>
          <w:color w:val="auto"/>
          <w:u w:color="0563C1"/>
          <w:shd w:val="clear" w:color="auto" w:fill="FFFFFF"/>
        </w:rPr>
        <w:fldChar w:fldCharType="separate"/>
      </w:r>
      <w:r>
        <w:rPr>
          <w:color w:val="auto"/>
          <w:u w:color="0563C1"/>
          <w:shd w:val="clear" w:color="auto" w:fill="FFFFFF"/>
        </w:rPr>
        <w:t>16</w:t>
      </w:r>
      <w:r>
        <w:rPr>
          <w:rStyle w:val="28"/>
          <w:color w:val="auto"/>
          <w:u w:color="0563C1"/>
          <w:shd w:val="clear" w:color="auto" w:fill="FFFFFF"/>
        </w:rPr>
        <w:fldChar w:fldCharType="end"/>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"_Toc67532149"</w:instrText>
      </w:r>
      <w:r>
        <w:fldChar w:fldCharType="separate"/>
      </w:r>
      <w:r>
        <w:rPr>
          <w:rFonts w:ascii="宋体" w:eastAsia="楷体_GB2312" w:hAnsi="宋体" w:hint="eastAsia"/>
          <w:color w:val="auto"/>
          <w:u w:color="0563C1"/>
        </w:rPr>
        <w:t>（十七）加强食品安全监管</w:t>
      </w:r>
      <w:r>
        <w:rPr>
          <w:rFonts w:ascii="宋体" w:eastAsia="楷体_GB2312" w:hAnsi="宋体"/>
          <w:color w:val="auto"/>
          <w:u w:color="0563C1"/>
        </w:rPr>
        <w:tab/>
      </w:r>
      <w:r>
        <w:rPr>
          <w:rFonts w:ascii="宋体" w:eastAsia="楷体_GB2312" w:hAnsi="宋体" w:hint="eastAsia"/>
        </w:rPr>
        <w:fldChar w:fldCharType="begin"/>
      </w:r>
      <w:r>
        <w:rPr>
          <w:rFonts w:ascii="宋体" w:eastAsia="楷体_GB2312" w:hAnsi="宋体" w:hint="eastAsia"/>
        </w:rPr>
        <w:instrText xml:space="preserve"> PAGEREF _Toc67532149 \h </w:instrText>
      </w:r>
      <w:r>
        <w:rPr>
          <w:rFonts w:ascii="宋体" w:eastAsia="楷体_GB2312" w:hAnsi="宋体" w:hint="eastAsia"/>
        </w:rPr>
        <w:fldChar w:fldCharType="separate"/>
      </w:r>
      <w:r>
        <w:rPr>
          <w:rFonts w:ascii="宋体" w:eastAsia="楷体_GB2312" w:hAnsi="宋体"/>
        </w:rPr>
        <w:t>16</w:t>
      </w:r>
      <w:r>
        <w:rPr>
          <w:rFonts w:ascii="宋体" w:eastAsia="楷体_GB2312" w:hAnsi="宋体" w:hint="eastAsia"/>
        </w:rPr>
        <w:fldChar w:fldCharType="end"/>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"_Toc67532150"</w:instrText>
      </w:r>
      <w:r>
        <w:fldChar w:fldCharType="separate"/>
      </w:r>
      <w:r>
        <w:rPr>
          <w:rFonts w:ascii="宋体" w:eastAsia="楷体_GB2312" w:hAnsi="宋体" w:hint="eastAsia"/>
          <w:color w:val="auto"/>
          <w:u w:color="0563C1"/>
        </w:rPr>
        <w:t>（十八）加强药品安全监管</w:t>
      </w:r>
      <w:r>
        <w:rPr>
          <w:rFonts w:ascii="宋体" w:eastAsia="楷体_GB2312" w:hAnsi="宋体"/>
          <w:color w:val="auto"/>
          <w:u w:color="0563C1"/>
        </w:rPr>
        <w:tab/>
      </w:r>
      <w:r>
        <w:rPr>
          <w:rFonts w:ascii="宋体" w:eastAsia="楷体_GB2312" w:hAnsi="宋体" w:hint="eastAsia"/>
        </w:rPr>
        <w:fldChar w:fldCharType="begin"/>
      </w:r>
      <w:r>
        <w:rPr>
          <w:rFonts w:ascii="宋体" w:eastAsia="楷体_GB2312" w:hAnsi="宋体" w:hint="eastAsia"/>
        </w:rPr>
        <w:instrText xml:space="preserve"> PAGEREF _Toc67532150 \h </w:instrText>
      </w:r>
      <w:r>
        <w:rPr>
          <w:rFonts w:ascii="宋体" w:eastAsia="楷体_GB2312" w:hAnsi="宋体" w:hint="eastAsia"/>
        </w:rPr>
        <w:fldChar w:fldCharType="separate"/>
      </w:r>
      <w:r>
        <w:rPr>
          <w:rFonts w:ascii="宋体" w:eastAsia="楷体_GB2312" w:hAnsi="宋体"/>
        </w:rPr>
        <w:t>17</w:t>
      </w:r>
      <w:r>
        <w:rPr>
          <w:rFonts w:ascii="宋体" w:eastAsia="楷体_GB2312" w:hAnsi="宋体" w:hint="eastAsia"/>
        </w:rPr>
        <w:fldChar w:fldCharType="end"/>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"_Toc67532151"</w:instrText>
      </w:r>
      <w:r>
        <w:fldChar w:fldCharType="separate"/>
      </w:r>
      <w:r>
        <w:rPr>
          <w:rFonts w:ascii="宋体" w:eastAsia="楷体_GB2312" w:hAnsi="宋体" w:hint="eastAsia"/>
          <w:color w:val="auto"/>
          <w:u w:color="0563C1"/>
        </w:rPr>
        <w:t>（十九）加强特种设备安全监管</w:t>
      </w:r>
      <w:r>
        <w:rPr>
          <w:rFonts w:ascii="宋体" w:eastAsia="楷体_GB2312" w:hAnsi="宋体"/>
          <w:color w:val="auto"/>
          <w:u w:color="0563C1"/>
        </w:rPr>
        <w:tab/>
      </w:r>
      <w:r>
        <w:rPr>
          <w:rFonts w:ascii="宋体" w:eastAsia="楷体_GB2312" w:hAnsi="宋体" w:hint="eastAsia"/>
        </w:rPr>
        <w:t>18</w:t>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"_Toc67532152"</w:instrText>
      </w:r>
      <w:r>
        <w:fldChar w:fldCharType="separate"/>
      </w:r>
      <w:r>
        <w:rPr>
          <w:rFonts w:ascii="宋体" w:eastAsia="楷体_GB2312" w:hAnsi="宋体" w:hint="eastAsia"/>
          <w:color w:val="auto"/>
          <w:u w:color="0563C1"/>
        </w:rPr>
        <w:t>（二十）加强产品质量安全监管</w:t>
      </w:r>
      <w:r>
        <w:rPr>
          <w:rFonts w:ascii="宋体" w:eastAsia="楷体_GB2312" w:hAnsi="宋体"/>
          <w:color w:val="auto"/>
          <w:u w:color="0563C1"/>
        </w:rPr>
        <w:tab/>
      </w:r>
      <w:r>
        <w:rPr>
          <w:rFonts w:ascii="宋体" w:eastAsia="楷体_GB2312" w:hAnsi="宋体" w:hint="eastAsia"/>
        </w:rPr>
        <w:t>18</w:t>
      </w:r>
      <w:r>
        <w:fldChar w:fldCharType="end"/>
      </w:r>
    </w:p>
    <w:p>
      <w:pPr>
        <w:pStyle w:val="21"/>
        <w:tabs>
          <w:tab w:val="right" w:leader="dot" w:pos="8834"/>
        </w:tabs>
        <w:spacing w:before="100"/>
        <w:textAlignment w:val="baseline"/>
        <w:rPr>
          <w:rStyle w:val="28"/>
          <w:color w:val="auto"/>
          <w:u w:color="0563C1"/>
          <w:shd w:val="clear" w:color="auto" w:fill="FFFFFF"/>
        </w:rPr>
      </w:pPr>
      <w:r>
        <w:fldChar w:fldCharType="begin"/>
      </w:r>
      <w:r>
        <w:instrText>Hyperlink \l "_Toc67532153"</w:instrText>
      </w:r>
      <w:r>
        <w:fldChar w:fldCharType="separate"/>
      </w:r>
      <w:r>
        <w:rPr>
          <w:rFonts w:ascii="宋体" w:hAnsi="宋体"/>
          <w:color w:val="auto"/>
          <w:u w:color="0563C1"/>
          <w:shd w:val="clear" w:color="auto" w:fill="FFFFFF"/>
        </w:rPr>
        <w:t>六、加强知识产权保护，促进创新发展</w:t>
      </w:r>
      <w:r>
        <w:rPr>
          <w:color w:val="auto"/>
          <w:u w:color="0563C1"/>
          <w:shd w:val="clear" w:color="auto" w:fill="FFFFFF"/>
        </w:rPr>
        <w:tab/>
        <w:t>19</w:t>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"_Toc67532154"</w:instrText>
      </w:r>
      <w:r>
        <w:fldChar w:fldCharType="separate"/>
      </w:r>
      <w:r>
        <w:rPr>
          <w:rStyle w:val="22Char"/>
          <w:rFonts w:ascii="宋体" w:eastAsia="楷体_GB2312" w:hAnsi="宋体" w:hint="eastAsia"/>
          <w:b w:val="0"/>
        </w:rPr>
        <w:t>（二十一）严格知识产权保护</w:t>
      </w:r>
      <w:r>
        <w:rPr>
          <w:rFonts w:ascii="宋体" w:eastAsia="楷体_GB2312" w:hAnsi="宋体"/>
          <w:color w:val="auto"/>
          <w:u w:color="0563C1"/>
        </w:rPr>
        <w:tab/>
      </w:r>
      <w:r>
        <w:rPr>
          <w:rFonts w:ascii="宋体" w:eastAsia="楷体_GB2312" w:hAnsi="宋体" w:hint="eastAsia"/>
        </w:rPr>
        <w:t>19</w:t>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"_Toc67532155"</w:instrText>
      </w:r>
      <w:r>
        <w:fldChar w:fldCharType="separate"/>
      </w:r>
      <w:r>
        <w:rPr>
          <w:rFonts w:ascii="宋体" w:eastAsia="楷体_GB2312" w:cs="宋体" w:hAnsi="宋体" w:hint="eastAsia"/>
          <w:szCs w:val="32"/>
        </w:rPr>
        <w:t>（二十二）加强知识产权创造和运用</w:t>
      </w:r>
      <w:r>
        <w:rPr>
          <w:rFonts w:ascii="宋体" w:eastAsia="楷体_GB2312" w:hAnsi="宋体"/>
          <w:color w:val="auto"/>
          <w:u w:color="0563C1"/>
        </w:rPr>
        <w:tab/>
      </w:r>
      <w:r>
        <w:rPr>
          <w:rFonts w:ascii="宋体" w:eastAsia="楷体_GB2312" w:hAnsi="宋体" w:hint="eastAsia"/>
        </w:rPr>
        <w:t>19</w:t>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"_Toc67532156"</w:instrText>
      </w:r>
      <w:r>
        <w:fldChar w:fldCharType="separate"/>
      </w:r>
      <w:r>
        <w:rPr>
          <w:rFonts w:ascii="宋体" w:eastAsia="楷体_GB2312" w:hAnsi="宋体" w:hint="eastAsia"/>
          <w:color w:val="auto"/>
          <w:u w:color="0563C1"/>
        </w:rPr>
        <w:t>（二十三）</w:t>
      </w:r>
      <w:r>
        <w:rPr>
          <w:rFonts w:ascii="宋体" w:eastAsia="楷体_GB2312" w:cs="宋体" w:hAnsi="宋体" w:hint="eastAsia"/>
          <w:szCs w:val="32"/>
        </w:rPr>
        <w:t>强化知识产权管理和服务</w:t>
      </w:r>
      <w:r>
        <w:rPr>
          <w:rFonts w:ascii="宋体" w:eastAsia="楷体_GB2312" w:hAnsi="宋体"/>
          <w:color w:val="auto"/>
          <w:u w:color="0563C1"/>
        </w:rPr>
        <w:tab/>
      </w:r>
      <w:r>
        <w:fldChar w:fldCharType="end"/>
      </w:r>
      <w:r>
        <w:rPr>
          <w:rFonts w:ascii="宋体" w:hAnsi="宋体" w:hint="eastAsia"/>
        </w:rPr>
        <w:t>2</w:t>
      </w:r>
      <w:r>
        <w:rPr>
          <w:rFonts w:ascii="宋体" w:hAnsi="宋体"/>
        </w:rPr>
        <w:t>1</w:t>
      </w:r>
    </w:p>
    <w:p>
      <w:pPr>
        <w:pStyle w:val="21"/>
        <w:tabs>
          <w:tab w:val="right" w:leader="dot" w:pos="8834"/>
        </w:tabs>
        <w:spacing w:before="100"/>
        <w:textAlignment w:val="baseline"/>
        <w:rPr>
          <w:rStyle w:val="28"/>
          <w:color w:val="auto"/>
          <w:u w:color="0563C1"/>
          <w:shd w:val="clear" w:color="auto" w:fill="FFFFFF"/>
        </w:rPr>
      </w:pPr>
      <w:r>
        <w:fldChar w:fldCharType="begin"/>
      </w:r>
      <w:r>
        <w:instrText>Hyperlink \l "_Toc67532158"</w:instrText>
      </w:r>
      <w:r>
        <w:fldChar w:fldCharType="separate"/>
      </w:r>
      <w:r>
        <w:rPr>
          <w:rFonts w:ascii="宋体" w:hAnsi="宋体"/>
          <w:color w:val="auto"/>
          <w:u w:color="0563C1"/>
          <w:shd w:val="clear" w:color="auto" w:fill="FFFFFF"/>
        </w:rPr>
        <w:t>七、加强消费维权，服务国际旅游消费中心建设</w:t>
      </w:r>
      <w:r>
        <w:rPr>
          <w:color w:val="auto"/>
          <w:u w:color="0563C1"/>
          <w:shd w:val="clear" w:color="auto" w:fill="FFFFFF"/>
        </w:rPr>
        <w:tab/>
      </w:r>
      <w:r>
        <w:rPr>
          <w:rStyle w:val="28"/>
          <w:color w:val="auto"/>
          <w:u w:color="0563C1"/>
          <w:shd w:val="clear" w:color="auto" w:fill="FFFFFF"/>
        </w:rPr>
        <w:fldChar w:fldCharType="begin"/>
      </w:r>
      <w:r>
        <w:rPr>
          <w:rStyle w:val="28"/>
          <w:color w:val="auto"/>
          <w:u w:color="0563C1"/>
          <w:shd w:val="clear" w:color="auto" w:fill="FFFFFF"/>
        </w:rPr>
        <w:instrText xml:space="preserve"> PAGEREF _Toc67532158 \h </w:instrText>
      </w:r>
      <w:r>
        <w:rPr>
          <w:rStyle w:val="28"/>
          <w:color w:val="auto"/>
          <w:u w:color="0563C1"/>
          <w:shd w:val="clear" w:color="auto" w:fill="FFFFFF"/>
        </w:rPr>
        <w:fldChar w:fldCharType="separate"/>
      </w:r>
      <w:r>
        <w:rPr>
          <w:color w:val="auto"/>
          <w:u w:color="0563C1"/>
          <w:shd w:val="clear" w:color="auto" w:fill="FFFFFF"/>
        </w:rPr>
        <w:t>23</w:t>
      </w:r>
      <w:r>
        <w:rPr>
          <w:rStyle w:val="28"/>
          <w:color w:val="auto"/>
          <w:u w:color="0563C1"/>
          <w:shd w:val="clear" w:color="auto" w:fill="FFFFFF"/>
        </w:rPr>
        <w:fldChar w:fldCharType="end"/>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"_Toc67532159"</w:instrText>
      </w:r>
      <w:r>
        <w:fldChar w:fldCharType="separate"/>
      </w:r>
      <w:r>
        <w:rPr>
          <w:rStyle w:val="22Char"/>
          <w:rFonts w:ascii="宋体" w:eastAsia="楷体_GB2312" w:hAnsi="宋体" w:hint="eastAsia"/>
          <w:b w:val="0"/>
        </w:rPr>
        <w:t>（二十四）加强消费维权行政保护工作</w:t>
      </w:r>
      <w:r>
        <w:rPr>
          <w:rFonts w:ascii="宋体" w:eastAsia="楷体_GB2312" w:hAnsi="宋体"/>
          <w:color w:val="auto"/>
          <w:u w:color="0563C1"/>
        </w:rPr>
        <w:tab/>
      </w:r>
      <w:r>
        <w:rPr>
          <w:rFonts w:ascii="宋体" w:eastAsia="楷体_GB2312" w:hAnsi="宋体" w:hint="eastAsia"/>
        </w:rPr>
        <w:fldChar w:fldCharType="begin"/>
      </w:r>
      <w:r>
        <w:rPr>
          <w:rFonts w:ascii="宋体" w:eastAsia="楷体_GB2312" w:hAnsi="宋体" w:hint="eastAsia"/>
        </w:rPr>
        <w:instrText xml:space="preserve"> PAGEREF _Toc67532159 \h </w:instrText>
      </w:r>
      <w:r>
        <w:rPr>
          <w:rFonts w:ascii="宋体" w:eastAsia="楷体_GB2312" w:hAnsi="宋体" w:hint="eastAsia"/>
        </w:rPr>
        <w:fldChar w:fldCharType="separate"/>
      </w:r>
      <w:r>
        <w:rPr>
          <w:rFonts w:ascii="宋体" w:eastAsia="楷体_GB2312" w:hAnsi="宋体"/>
        </w:rPr>
        <w:t>23</w:t>
      </w:r>
      <w:r>
        <w:rPr>
          <w:rFonts w:ascii="宋体" w:eastAsia="楷体_GB2312" w:hAnsi="宋体" w:hint="eastAsia"/>
        </w:rPr>
        <w:fldChar w:fldCharType="end"/>
      </w:r>
      <w:r>
        <w:fldChar w:fldCharType="end"/>
      </w:r>
    </w:p>
    <w:p>
      <w:pPr>
        <w:pStyle w:val="23"/>
        <w:tabs>
          <w:tab w:val="right" w:leader="dot" w:pos="8834"/>
        </w:tabs>
        <w:spacing w:line="620" w:lineRule="exact"/>
        <w:textAlignment w:val="baseline"/>
        <w:rPr>
          <w:rFonts w:ascii="宋体" w:eastAsia="楷体_GB2312" w:hAnsi="宋体"/>
        </w:rPr>
      </w:pPr>
      <w:r>
        <w:fldChar w:fldCharType="begin"/>
      </w:r>
      <w:r>
        <w:instrText>Hyperlink \l "_Toc67532160"</w:instrText>
      </w:r>
      <w:r>
        <w:fldChar w:fldCharType="separate"/>
      </w:r>
      <w:r>
        <w:rPr>
          <w:rStyle w:val="22Char"/>
          <w:rFonts w:ascii="宋体" w:eastAsia="楷体_GB2312" w:hAnsi="宋体" w:hint="eastAsia"/>
          <w:b w:val="0"/>
        </w:rPr>
        <w:t>（二十五）创新完善消费维权机制</w:t>
      </w:r>
      <w:r>
        <w:rPr>
          <w:rFonts w:ascii="宋体" w:eastAsia="楷体_GB2312" w:hAnsi="宋体"/>
          <w:color w:val="auto"/>
          <w:u w:color="0563C1"/>
        </w:rPr>
        <w:tab/>
      </w:r>
      <w:r>
        <w:rPr>
          <w:rFonts w:ascii="宋体" w:eastAsia="楷体_GB2312" w:hAnsi="宋体" w:hint="eastAsia"/>
        </w:rPr>
        <w:fldChar w:fldCharType="begin"/>
      </w:r>
      <w:r>
        <w:rPr>
          <w:rFonts w:ascii="宋体" w:eastAsia="楷体_GB2312" w:hAnsi="宋体" w:hint="eastAsia"/>
        </w:rPr>
        <w:instrText xml:space="preserve"> PAGEREF _Toc67532160 \h </w:instrText>
      </w:r>
      <w:r>
        <w:rPr>
          <w:rFonts w:ascii="宋体" w:eastAsia="楷体_GB2312" w:hAnsi="宋体" w:hint="eastAsia"/>
        </w:rPr>
        <w:fldChar w:fldCharType="separate"/>
      </w:r>
      <w:r>
        <w:rPr>
          <w:rFonts w:ascii="宋体" w:eastAsia="楷体_GB2312" w:hAnsi="宋体"/>
        </w:rPr>
        <w:t>23</w:t>
      </w:r>
      <w:r>
        <w:rPr>
          <w:rFonts w:ascii="宋体" w:eastAsia="楷体_GB2312" w:hAnsi="宋体" w:hint="eastAsia"/>
        </w:rPr>
        <w:fldChar w:fldCharType="end"/>
      </w:r>
      <w:r>
        <w:fldChar w:fldCharType="end"/>
      </w:r>
    </w:p>
    <w:p>
      <w:pPr>
        <w:pStyle w:val="23"/>
        <w:tabs>
          <w:tab w:val="right" w:leader="dot" w:pos="8834"/>
        </w:tabs>
        <w:spacing w:line="620" w:lineRule="exact"/>
        <w:textAlignment w:val="baseline"/>
        <w:rPr>
          <w:rStyle w:val="28"/>
          <w:rFonts w:ascii="宋体" w:eastAsia="楷体_GB2312" w:hAnsi="宋体"/>
          <w:color w:val="auto"/>
          <w:u w:color="0563C1"/>
        </w:rPr>
      </w:pPr>
      <w:r>
        <w:fldChar w:fldCharType="begin"/>
      </w:r>
      <w:r>
        <w:instrText>Hyperlink \l "_Toc67532160"</w:instrText>
      </w:r>
      <w:r>
        <w:fldChar w:fldCharType="separate"/>
      </w:r>
      <w:r>
        <w:rPr>
          <w:rFonts w:ascii="宋体" w:eastAsia="楷体_GB2312" w:cs="宋体" w:hAnsi="宋体" w:hint="eastAsia"/>
          <w:szCs w:val="32"/>
        </w:rPr>
        <w:t>（二十六）加强消费维权境外合作</w:t>
      </w:r>
      <w:r>
        <w:rPr>
          <w:rFonts w:ascii="宋体" w:eastAsia="楷体_GB2312" w:hAnsi="宋体"/>
          <w:color w:val="auto"/>
          <w:u w:color="0563C1"/>
        </w:rPr>
        <w:tab/>
        <w:t>23</w:t>
      </w:r>
      <w:r>
        <w:fldChar w:fldCharType="end"/>
      </w:r>
    </w:p>
    <w:p>
      <w:pPr>
        <w:pStyle w:val="21"/>
        <w:tabs>
          <w:tab w:val="right" w:leader="dot" w:pos="8834"/>
        </w:tabs>
        <w:spacing w:before="100"/>
        <w:textAlignment w:val="baseline"/>
        <w:rPr>
          <w:rStyle w:val="22Char"/>
          <w:rFonts w:ascii="楷体_GB2312" w:eastAsia="楷体_GB2312"/>
          <w:b w:val="0"/>
        </w:rPr>
      </w:pPr>
      <w:r>
        <w:fldChar w:fldCharType="begin"/>
      </w:r>
      <w:r>
        <w:instrText>Hyperlink \l "_Toc67532161"</w:instrText>
      </w:r>
      <w:r>
        <w:fldChar w:fldCharType="separate"/>
      </w:r>
      <w:r>
        <w:rPr>
          <w:rFonts w:ascii="宋体" w:hAnsi="宋体"/>
          <w:color w:val="auto"/>
          <w:u w:val="none"/>
          <w:shd w:val="clear" w:color="auto" w:fill="FFFFFF"/>
        </w:rPr>
        <w:t>八、加强基础建设和能力建设，</w:t>
      </w:r>
      <w:r>
        <w:rPr>
          <w:rFonts w:ascii="宋体" w:hAnsi="宋体" w:hint="eastAsia"/>
          <w:color w:val="auto"/>
          <w:u w:val="none"/>
          <w:shd w:val="clear" w:color="auto" w:fill="FFFFFF"/>
        </w:rPr>
        <w:t>夯实</w:t>
      </w:r>
      <w:r>
        <w:rPr>
          <w:rFonts w:ascii="宋体" w:hAnsi="宋体"/>
          <w:color w:val="auto"/>
          <w:u w:val="none"/>
          <w:shd w:val="clear" w:color="auto" w:fill="FFFFFF"/>
        </w:rPr>
        <w:t>现代化监管基本支撑</w:t>
      </w:r>
      <w:r>
        <w:rPr>
          <w:color w:val="auto"/>
          <w:u w:val="none"/>
          <w:shd w:val="clear" w:color="auto" w:fill="FFFFFF"/>
        </w:rPr>
        <w:tab/>
        <w:t>24</w:t>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"_Toc67532162"</w:instrText>
      </w:r>
      <w:r>
        <w:fldChar w:fldCharType="separate"/>
      </w:r>
      <w:r>
        <w:rPr>
          <w:rStyle w:val="22Char"/>
          <w:rFonts w:ascii="楷体_GB2312" w:eastAsia="楷体_GB2312" w:hint="eastAsia"/>
          <w:b w:val="0"/>
        </w:rPr>
        <w:t>（二十七）提高计量工作水平</w:t>
      </w:r>
      <w:r>
        <w:rPr>
          <w:rFonts w:ascii="宋体" w:eastAsia="仿宋_GB2312" w:hAnsi="宋体"/>
          <w:color w:val="auto"/>
          <w:u w:color="0563C1"/>
        </w:rPr>
        <w:tab/>
      </w:r>
      <w:r>
        <w:rPr>
          <w:rFonts w:ascii="宋体" w:hAnsi="宋体"/>
        </w:rPr>
        <w:t>24</w:t>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"_Toc67532163"</w:instrText>
      </w:r>
      <w:r>
        <w:fldChar w:fldCharType="separate"/>
      </w:r>
      <w:r>
        <w:rPr>
          <w:rStyle w:val="22Char"/>
          <w:rFonts w:ascii="楷体_GB2312" w:eastAsia="楷体_GB2312" w:hint="eastAsia"/>
          <w:b w:val="0"/>
        </w:rPr>
        <w:t>（二十</w:t>
      </w:r>
      <w:r>
        <w:rPr>
          <w:rStyle w:val="22Char"/>
          <w:rFonts w:ascii="楷体_GB2312" w:eastAsia="楷体_GB2312"/>
          <w:b w:val="0"/>
        </w:rPr>
        <w:t>八</w:t>
      </w:r>
      <w:r>
        <w:rPr>
          <w:rStyle w:val="22Char"/>
          <w:rFonts w:ascii="楷体_GB2312" w:eastAsia="楷体_GB2312" w:hint="eastAsia"/>
          <w:b w:val="0"/>
        </w:rPr>
        <w:t>）提高标准工作水平</w:t>
      </w:r>
      <w:r>
        <w:rPr>
          <w:rFonts w:ascii="宋体" w:eastAsia="仿宋_GB2312" w:hAnsi="宋体"/>
          <w:color w:val="auto"/>
          <w:u w:color="0563C1"/>
        </w:rPr>
        <w:tab/>
      </w:r>
      <w:r>
        <w:rPr>
          <w:rFonts w:ascii="宋体" w:hAnsi="宋体"/>
        </w:rPr>
        <w:t>24</w:t>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"_Toc67532164"</w:instrText>
      </w:r>
      <w:r>
        <w:fldChar w:fldCharType="separate"/>
      </w:r>
      <w:r>
        <w:rPr>
          <w:rStyle w:val="22Char"/>
          <w:rFonts w:ascii="楷体_GB2312" w:eastAsia="楷体_GB2312" w:hint="eastAsia"/>
          <w:b w:val="0"/>
        </w:rPr>
        <w:t>（二十</w:t>
      </w:r>
      <w:r>
        <w:rPr>
          <w:rStyle w:val="22Char"/>
          <w:rFonts w:ascii="楷体_GB2312" w:eastAsia="楷体_GB2312"/>
          <w:b w:val="0"/>
        </w:rPr>
        <w:t>九</w:t>
      </w:r>
      <w:r>
        <w:rPr>
          <w:rStyle w:val="22Char"/>
          <w:rFonts w:ascii="楷体_GB2312" w:eastAsia="楷体_GB2312" w:hint="eastAsia"/>
          <w:b w:val="0"/>
        </w:rPr>
        <w:t>）提高认证认可工作水平</w:t>
      </w:r>
      <w:r>
        <w:rPr>
          <w:rFonts w:ascii="宋体" w:eastAsia="仿宋_GB2312" w:hAnsi="宋体"/>
          <w:color w:val="auto"/>
          <w:u w:color="0563C1"/>
        </w:rPr>
        <w:tab/>
      </w:r>
      <w:r>
        <w:rPr>
          <w:rFonts w:ascii="宋体" w:hAnsi="宋体"/>
        </w:rPr>
        <w:t>25</w:t>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"_Toc67532165"</w:instrText>
      </w:r>
      <w:r>
        <w:fldChar w:fldCharType="separate"/>
      </w:r>
      <w:r>
        <w:rPr>
          <w:rStyle w:val="22Char"/>
          <w:rFonts w:ascii="楷体_GB2312" w:eastAsia="楷体_GB2312" w:hint="eastAsia"/>
          <w:b w:val="0"/>
        </w:rPr>
        <w:t>（三十）加强检验检测机构和实验室建设</w:t>
      </w:r>
      <w:r>
        <w:rPr>
          <w:rFonts w:ascii="宋体" w:eastAsia="仿宋_GB2312" w:hAnsi="宋体"/>
          <w:color w:val="auto"/>
          <w:u w:color="0563C1"/>
        </w:rPr>
        <w:tab/>
      </w:r>
      <w:r>
        <w:rPr>
          <w:rFonts w:ascii="宋体" w:hAnsi="宋体"/>
        </w:rPr>
        <w:t>25</w:t>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"_Toc67532166"</w:instrText>
      </w:r>
      <w:r>
        <w:fldChar w:fldCharType="separate"/>
      </w:r>
      <w:r>
        <w:rPr>
          <w:rStyle w:val="22Char"/>
          <w:rFonts w:ascii="楷体_GB2312" w:eastAsia="楷体_GB2312" w:hint="eastAsia"/>
          <w:b w:val="0"/>
        </w:rPr>
        <w:t>（三十一）建立基层信息化工作机制</w:t>
      </w:r>
      <w:r>
        <w:rPr>
          <w:rFonts w:ascii="宋体" w:eastAsia="仿宋_GB2312" w:hAnsi="宋体"/>
          <w:color w:val="auto"/>
          <w:u w:color="0563C1"/>
        </w:rPr>
        <w:tab/>
      </w:r>
      <w:r>
        <w:rPr>
          <w:rFonts w:ascii="宋体" w:hAnsi="宋体"/>
        </w:rPr>
        <w:t>27</w:t>
      </w:r>
      <w:r>
        <w:fldChar w:fldCharType="end"/>
      </w:r>
    </w:p>
    <w:p>
      <w:pPr>
        <w:pStyle w:val="21"/>
        <w:tabs>
          <w:tab w:val="right" w:leader="dot" w:pos="8834"/>
        </w:tabs>
        <w:spacing w:before="100"/>
        <w:textAlignment w:val="baseline"/>
        <w:rPr>
          <w:rStyle w:val="28"/>
          <w:color w:val="auto"/>
          <w:u w:color="0563C1"/>
          <w:shd w:val="clear" w:color="auto" w:fill="FFFFFF"/>
        </w:rPr>
      </w:pPr>
      <w:r>
        <w:fldChar w:fldCharType="begin"/>
      </w:r>
      <w:r>
        <w:instrText>Hyperlink \l "_Toc67532167"</w:instrText>
      </w:r>
      <w:r>
        <w:fldChar w:fldCharType="separate"/>
      </w:r>
      <w:r>
        <w:rPr>
          <w:rFonts w:ascii="宋体" w:hAnsi="宋体"/>
          <w:color w:val="auto"/>
          <w:u w:color="0563C1"/>
          <w:shd w:val="clear" w:color="auto" w:fill="FFFFFF"/>
        </w:rPr>
        <w:t>九、坚持依法行政，完善市场监管体制</w:t>
      </w:r>
      <w:r>
        <w:rPr>
          <w:color w:val="auto"/>
          <w:u w:color="0563C1"/>
          <w:shd w:val="clear" w:color="auto" w:fill="FFFFFF"/>
        </w:rPr>
        <w:tab/>
        <w:t>27</w:t>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"_Toc67532168"</w:instrText>
      </w:r>
      <w:r>
        <w:fldChar w:fldCharType="separate"/>
      </w:r>
      <w:r>
        <w:rPr>
          <w:rStyle w:val="22Char"/>
          <w:rFonts w:ascii="楷体_GB2312" w:eastAsia="楷体_GB2312" w:hint="eastAsia"/>
          <w:b w:val="0"/>
        </w:rPr>
        <w:t>（三十二）坚持依法行政</w:t>
      </w:r>
      <w:r>
        <w:rPr>
          <w:rFonts w:ascii="宋体" w:eastAsia="仿宋_GB2312" w:hAnsi="宋体"/>
          <w:color w:val="auto"/>
          <w:u w:color="0563C1"/>
        </w:rPr>
        <w:tab/>
      </w:r>
      <w:r>
        <w:rPr>
          <w:rFonts w:ascii="宋体" w:hAnsi="宋体"/>
        </w:rPr>
        <w:t>2</w:t>
      </w:r>
      <w:r>
        <w:fldChar w:fldCharType="end"/>
      </w:r>
      <w:r>
        <w:rPr>
          <w:rFonts w:ascii="宋体" w:hAnsi="宋体"/>
        </w:rPr>
        <w:t>7</w:t>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"_Toc67532169"</w:instrText>
      </w:r>
      <w:r>
        <w:fldChar w:fldCharType="separate"/>
      </w:r>
      <w:r>
        <w:rPr>
          <w:rStyle w:val="22Char"/>
          <w:rFonts w:ascii="楷体_GB2312" w:eastAsia="楷体_GB2312" w:hint="eastAsia"/>
          <w:b w:val="0"/>
        </w:rPr>
        <w:t>（三十三）厘清层级事权</w:t>
      </w:r>
      <w:r>
        <w:rPr>
          <w:rFonts w:ascii="宋体" w:eastAsia="仿宋_GB2312" w:hAnsi="宋体"/>
          <w:color w:val="auto"/>
          <w:u w:color="0563C1"/>
        </w:rPr>
        <w:tab/>
      </w:r>
      <w:r>
        <w:rPr>
          <w:rFonts w:ascii="宋体" w:hAnsi="宋体"/>
        </w:rPr>
        <w:t>2</w:t>
      </w:r>
      <w:r>
        <w:fldChar w:fldCharType="end"/>
      </w:r>
      <w:r>
        <w:rPr>
          <w:rFonts w:ascii="宋体" w:hAnsi="宋体"/>
        </w:rPr>
        <w:t>8</w:t>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"_Toc67532170"</w:instrText>
      </w:r>
      <w:r>
        <w:fldChar w:fldCharType="separate"/>
      </w:r>
      <w:r>
        <w:rPr>
          <w:rStyle w:val="22Char"/>
          <w:rFonts w:ascii="楷体_GB2312" w:eastAsia="楷体_GB2312" w:hint="eastAsia"/>
          <w:b w:val="0"/>
        </w:rPr>
        <w:t>（三十四）完善市场监管体制</w:t>
      </w:r>
      <w:r>
        <w:rPr>
          <w:rFonts w:ascii="宋体" w:eastAsia="仿宋_GB2312" w:hAnsi="宋体"/>
          <w:color w:val="auto"/>
          <w:u w:color="0563C1"/>
        </w:rPr>
        <w:tab/>
      </w:r>
      <w:r>
        <w:rPr>
          <w:rFonts w:ascii="宋体" w:hAnsi="宋体"/>
        </w:rPr>
        <w:t>2</w:t>
      </w:r>
      <w:r>
        <w:fldChar w:fldCharType="end"/>
      </w:r>
      <w:r>
        <w:rPr>
          <w:rFonts w:ascii="宋体" w:hAnsi="宋体"/>
        </w:rPr>
        <w:t>8</w:t>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"_Toc67532171"</w:instrText>
      </w:r>
      <w:r>
        <w:fldChar w:fldCharType="separate"/>
      </w:r>
      <w:r>
        <w:rPr>
          <w:rStyle w:val="22Char"/>
          <w:rFonts w:ascii="楷体_GB2312" w:eastAsia="楷体_GB2312" w:hint="eastAsia"/>
          <w:b w:val="0"/>
        </w:rPr>
        <w:t>（三十五）健全法规规章</w:t>
      </w:r>
      <w:r>
        <w:rPr>
          <w:rFonts w:ascii="宋体" w:eastAsia="仿宋_GB2312" w:hAnsi="宋体"/>
          <w:color w:val="auto"/>
          <w:u w:color="0563C1"/>
        </w:rPr>
        <w:tab/>
      </w:r>
      <w:r>
        <w:rPr>
          <w:rFonts w:ascii="宋体" w:hAnsi="宋体"/>
        </w:rPr>
        <w:t>2</w:t>
      </w:r>
      <w:r>
        <w:fldChar w:fldCharType="end"/>
      </w:r>
      <w:r>
        <w:rPr>
          <w:rFonts w:ascii="宋体" w:hAnsi="宋体"/>
        </w:rPr>
        <w:t>8</w:t>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"_Toc67532172"</w:instrText>
      </w:r>
      <w:r>
        <w:fldChar w:fldCharType="separate"/>
      </w:r>
      <w:r>
        <w:rPr>
          <w:rStyle w:val="22Char"/>
          <w:rFonts w:ascii="楷体_GB2312" w:eastAsia="楷体_GB2312" w:hint="eastAsia"/>
          <w:b w:val="0"/>
        </w:rPr>
        <w:t>（三十六）加强市场监管所建设</w:t>
      </w:r>
      <w:r>
        <w:rPr>
          <w:rFonts w:ascii="宋体" w:eastAsia="仿宋_GB2312" w:hAnsi="宋体"/>
          <w:color w:val="auto"/>
          <w:u w:color="0563C1"/>
        </w:rPr>
        <w:tab/>
      </w:r>
      <w:r>
        <w:rPr>
          <w:rFonts w:ascii="宋体" w:hAnsi="宋体"/>
        </w:rPr>
        <w:fldChar w:fldCharType="begin"/>
      </w:r>
      <w:r>
        <w:rPr>
          <w:rFonts w:ascii="宋体" w:hAnsi="宋体"/>
        </w:rPr>
        <w:instrText xml:space="preserve"> PAGEREF _Toc67532172 \h </w:instrText>
      </w:r>
      <w:r>
        <w:rPr>
          <w:rFonts w:ascii="宋体" w:hAnsi="宋体"/>
        </w:rPr>
        <w:fldChar w:fldCharType="separate"/>
      </w:r>
      <w:r>
        <w:rPr>
          <w:rFonts w:ascii="宋体" w:hAnsi="宋体"/>
        </w:rPr>
        <w:t>29</w:t>
      </w:r>
      <w:r>
        <w:rPr>
          <w:rFonts w:ascii="宋体" w:hAnsi="宋体"/>
        </w:rPr>
        <w:fldChar w:fldCharType="end"/>
      </w:r>
      <w:r>
        <w:fldChar w:fldCharType="end"/>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"_Toc67532173"</w:instrText>
      </w:r>
      <w:r>
        <w:fldChar w:fldCharType="separate"/>
      </w:r>
      <w:r>
        <w:rPr>
          <w:rStyle w:val="22Char"/>
          <w:rFonts w:ascii="楷体_GB2312" w:eastAsia="楷体_GB2312" w:hint="eastAsia"/>
          <w:b w:val="0"/>
        </w:rPr>
        <w:t>（三十七）加强宣传和培训</w:t>
      </w:r>
      <w:r>
        <w:rPr>
          <w:rFonts w:ascii="宋体" w:eastAsia="仿宋_GB2312" w:hAnsi="宋体"/>
          <w:color w:val="auto"/>
          <w:u w:color="0563C1"/>
        </w:rPr>
        <w:tab/>
      </w:r>
      <w:r>
        <w:fldChar w:fldCharType="end"/>
      </w:r>
      <w:r>
        <w:rPr>
          <w:rFonts w:ascii="宋体" w:hAnsi="宋体"/>
        </w:rPr>
        <w:t>29</w:t>
      </w:r>
    </w:p>
    <w:p>
      <w:pPr>
        <w:pStyle w:val="21"/>
        <w:tabs>
          <w:tab w:val="right" w:leader="dot" w:pos="8834"/>
        </w:tabs>
        <w:spacing w:before="100"/>
        <w:textAlignment w:val="baseline"/>
        <w:rPr>
          <w:rStyle w:val="28"/>
          <w:color w:val="auto"/>
          <w:u w:color="0563C1"/>
          <w:shd w:val="clear" w:color="auto" w:fill="FFFFFF"/>
        </w:rPr>
      </w:pPr>
      <w:r>
        <w:fldChar w:fldCharType="begin"/>
      </w:r>
      <w:r>
        <w:instrText>Hyperlink \l "_Toc67532174"</w:instrText>
      </w:r>
      <w:r>
        <w:fldChar w:fldCharType="separate"/>
      </w:r>
      <w:r>
        <w:rPr>
          <w:rFonts w:ascii="宋体" w:hAnsi="宋体"/>
          <w:color w:val="auto"/>
          <w:u w:color="0563C1"/>
          <w:shd w:val="clear" w:color="auto" w:fill="FFFFFF"/>
        </w:rPr>
        <w:t>十、加强组织领导，确保规划落地落实</w:t>
      </w:r>
      <w:r>
        <w:rPr>
          <w:color w:val="auto"/>
          <w:u w:color="0563C1"/>
          <w:shd w:val="clear" w:color="auto" w:fill="FFFFFF"/>
        </w:rPr>
        <w:tab/>
      </w:r>
      <w:r>
        <w:fldChar w:fldCharType="end"/>
      </w:r>
      <w:r>
        <w:rPr>
          <w:rStyle w:val="28"/>
          <w:color w:val="auto"/>
          <w:u w:val="none"/>
          <w:shd w:val="clear" w:color="auto" w:fill="FFFFFF"/>
        </w:rPr>
        <w:t>29</w:t>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"_Toc67532175"</w:instrText>
      </w:r>
      <w:r>
        <w:fldChar w:fldCharType="separate"/>
      </w:r>
      <w:r>
        <w:rPr>
          <w:rStyle w:val="22Char"/>
          <w:rFonts w:ascii="楷体_GB2312" w:eastAsia="楷体_GB2312" w:hint="eastAsia"/>
          <w:b w:val="0"/>
        </w:rPr>
        <w:t>（三十</w:t>
      </w:r>
      <w:r>
        <w:rPr>
          <w:rStyle w:val="22Char"/>
          <w:rFonts w:ascii="楷体_GB2312" w:eastAsia="楷体_GB2312"/>
          <w:b w:val="0"/>
        </w:rPr>
        <w:t>八</w:t>
      </w:r>
      <w:r>
        <w:rPr>
          <w:rStyle w:val="22Char"/>
          <w:rFonts w:ascii="楷体_GB2312" w:eastAsia="楷体_GB2312" w:hint="eastAsia"/>
          <w:b w:val="0"/>
        </w:rPr>
        <w:t>）加强组织领导</w:t>
      </w:r>
      <w:r>
        <w:rPr>
          <w:rFonts w:ascii="宋体" w:eastAsia="仿宋_GB2312" w:hAnsi="宋体"/>
          <w:color w:val="auto"/>
          <w:u w:color="0563C1"/>
        </w:rPr>
        <w:tab/>
      </w:r>
      <w:r>
        <w:fldChar w:fldCharType="end"/>
      </w:r>
      <w:r>
        <w:rPr>
          <w:rFonts w:ascii="宋体" w:hAnsi="宋体"/>
        </w:rPr>
        <w:t>29</w:t>
      </w:r>
    </w:p>
    <w:p>
      <w:pPr>
        <w:pStyle w:val="23"/>
        <w:tabs>
          <w:tab w:val="right" w:leader="dot" w:pos="8834"/>
        </w:tabs>
        <w:spacing w:line="620" w:lineRule="exact"/>
        <w:textAlignment w:val="baseline"/>
        <w:rPr>
          <w:rStyle w:val="28"/>
          <w:rFonts w:ascii="宋体" w:eastAsia="仿宋_GB2312" w:hAnsi="宋体"/>
          <w:color w:val="auto"/>
          <w:u w:color="0563C1"/>
        </w:rPr>
      </w:pPr>
      <w:r>
        <w:fldChar w:fldCharType="begin"/>
      </w:r>
      <w:r>
        <w:instrText>Hyperlink \l "_Toc67532176"</w:instrText>
      </w:r>
      <w:r>
        <w:fldChar w:fldCharType="separate"/>
      </w:r>
      <w:r>
        <w:rPr>
          <w:rStyle w:val="22Char"/>
          <w:rFonts w:ascii="楷体_GB2312" w:eastAsia="楷体_GB2312" w:hint="eastAsia"/>
          <w:b w:val="0"/>
        </w:rPr>
        <w:t>（三十</w:t>
      </w:r>
      <w:r>
        <w:rPr>
          <w:rStyle w:val="22Char"/>
          <w:rFonts w:ascii="楷体_GB2312" w:eastAsia="楷体_GB2312"/>
          <w:b w:val="0"/>
        </w:rPr>
        <w:t>九</w:t>
      </w:r>
      <w:r>
        <w:rPr>
          <w:rStyle w:val="22Char"/>
          <w:rFonts w:ascii="楷体_GB2312" w:eastAsia="楷体_GB2312" w:hint="eastAsia"/>
          <w:b w:val="0"/>
        </w:rPr>
        <w:t>）加强跟踪督查</w:t>
      </w:r>
      <w:r>
        <w:rPr>
          <w:rFonts w:ascii="宋体" w:eastAsia="仿宋_GB2312" w:hAnsi="宋体"/>
          <w:color w:val="auto"/>
          <w:u w:color="0563C1"/>
        </w:rPr>
        <w:tab/>
      </w:r>
      <w:r>
        <w:rPr>
          <w:rFonts w:ascii="宋体" w:hAnsi="宋体"/>
        </w:rPr>
        <w:t>30</w:t>
      </w:r>
      <w:r>
        <w:fldChar w:fldCharType="end"/>
      </w:r>
    </w:p>
    <w:p>
      <w:pPr>
        <w:pStyle w:val="21"/>
        <w:tabs>
          <w:tab w:val="right" w:leader="dot" w:pos="8834"/>
        </w:tabs>
        <w:spacing w:before="100"/>
        <w:textAlignment w:val="baseline"/>
        <w:rPr>
          <w:rStyle w:val="28"/>
          <w:color w:val="auto"/>
          <w:u w:color="0563C1"/>
          <w:shd w:val="clear" w:color="auto" w:fill="FFFFFF"/>
        </w:rPr>
      </w:pPr>
      <w:r>
        <w:fldChar w:fldCharType="begin"/>
      </w:r>
      <w:r>
        <w:instrText>Hyperlink \l "_Toc67532177"</w:instrText>
      </w:r>
      <w:r>
        <w:fldChar w:fldCharType="separate"/>
      </w:r>
      <w:r>
        <w:rPr>
          <w:rFonts w:ascii="宋体" w:hAnsi="宋体"/>
          <w:color w:val="auto"/>
          <w:u w:color="0563C1"/>
          <w:shd w:val="clear" w:color="auto" w:fill="FFFFFF"/>
        </w:rPr>
        <w:t>名词解释</w:t>
      </w:r>
      <w:r>
        <w:rPr>
          <w:color w:val="auto"/>
          <w:u w:color="0563C1"/>
          <w:shd w:val="clear" w:color="auto" w:fill="FFFFFF"/>
        </w:rPr>
        <w:tab/>
        <w:t>31</w:t>
      </w:r>
      <w:r>
        <w:fldChar w:fldCharType="end"/>
      </w:r>
    </w:p>
    <w:p>
      <w:pPr>
        <w:spacing w:line="620" w:lineRule="exact"/>
        <w:textAlignment w:val="baseline"/>
        <w:rPr>
          <w:rFonts w:ascii="宋体"/>
          <w:sz w:val="32"/>
          <w:szCs w:val="32"/>
        </w:rPr>
      </w:pPr>
      <w:r>
        <w:rPr>
          <w:rFonts w:ascii="宋体"/>
        </w:rPr>
        <w:fldChar w:fldCharType="end"/>
      </w:r>
    </w:p>
    <w:p>
      <w:pPr>
        <w:spacing w:line="620" w:lineRule="exact"/>
        <w:jc w:val="center"/>
        <w:textAlignment w:val="baseline"/>
        <w:rPr>
          <w:rFonts w:ascii="宋体" w:eastAsia="方正小标宋简体" w:cs="黑体" w:hAnsi="宋体"/>
          <w:kern w:val="0"/>
          <w:sz w:val="44"/>
          <w:szCs w:val="44"/>
        </w:rPr>
      </w:pPr>
    </w:p>
    <w:p>
      <w:pPr>
        <w:spacing w:line="620" w:lineRule="exact"/>
        <w:jc w:val="center"/>
        <w:textAlignment w:val="baseline"/>
        <w:rPr>
          <w:rFonts w:ascii="宋体" w:eastAsia="方正小标宋简体" w:cs="黑体" w:hAnsi="宋体"/>
          <w:kern w:val="0"/>
          <w:sz w:val="44"/>
          <w:szCs w:val="44"/>
        </w:rPr>
        <w:sectPr>
          <w:pgSz w:w="11906" w:h="16838"/>
          <w:pgMar w:top="2098" w:right="1474" w:bottom="1985" w:left="1588" w:header="851" w:footer="1191" w:gutter="0"/>
          <w:pgNumType w:start="1"/>
          <w:docGrid w:type="lines" w:linePitch="312" w:charSpace="0"/>
        </w:sectPr>
      </w:pPr>
    </w:p>
    <w:p>
      <w:pPr>
        <w:overflowPunct w:val="0"/>
        <w:spacing w:line="579" w:lineRule="exact"/>
        <w:jc w:val="center"/>
        <w:textAlignment w:val="baseline"/>
        <w:rPr>
          <w:rFonts w:ascii="宋体" w:eastAsia="方正小标宋简体" w:cs="黑体" w:hAnsi="宋体"/>
          <w:kern w:val="0"/>
          <w:sz w:val="44"/>
          <w:szCs w:val="44"/>
        </w:rPr>
      </w:pPr>
    </w:p>
    <w:p>
      <w:pPr>
        <w:overflowPunct w:val="0"/>
        <w:spacing w:line="579" w:lineRule="exact"/>
        <w:jc w:val="center"/>
        <w:textAlignment w:val="baseline"/>
        <w:rPr>
          <w:rFonts w:ascii="宋体" w:eastAsia="方正小标宋简体" w:cs="黑体" w:hAnsi="宋体"/>
          <w:kern w:val="0"/>
          <w:sz w:val="44"/>
          <w:szCs w:val="44"/>
        </w:rPr>
      </w:pPr>
      <w:r>
        <w:rPr>
          <w:rFonts w:ascii="宋体" w:eastAsia="方正小标宋简体" w:cs="黑体" w:hAnsi="宋体" w:hint="eastAsia"/>
          <w:kern w:val="0"/>
          <w:sz w:val="44"/>
          <w:szCs w:val="44"/>
        </w:rPr>
        <w:t>海南省“十四五”市场监管规划</w:t>
      </w:r>
    </w:p>
    <w:p>
      <w:pPr>
        <w:overflowPunct w:val="0"/>
        <w:spacing w:line="579" w:lineRule="exact"/>
        <w:ind w:firstLineChars="200" w:firstLine="640"/>
        <w:textAlignment w:val="baseline"/>
        <w:rPr>
          <w:rFonts w:ascii="宋体" w:eastAsia="仿宋_GB2312" w:cs="宋体" w:hAnsi="宋体"/>
          <w:kern w:val="0"/>
          <w:sz w:val="32"/>
          <w:szCs w:val="32"/>
        </w:rPr>
      </w:pPr>
    </w:p>
    <w:p>
      <w:pPr>
        <w:overflowPunct w:val="0"/>
        <w:spacing w:line="579" w:lineRule="exact"/>
        <w:ind w:firstLineChars="200" w:firstLine="640"/>
        <w:textAlignment w:val="baseline"/>
        <w:rPr>
          <w:rFonts w:ascii="宋体" w:eastAsia="仿宋_GB2312" w:cs="宋体" w:hAnsi="宋体"/>
          <w:kern w:val="0"/>
          <w:sz w:val="32"/>
          <w:szCs w:val="32"/>
        </w:rPr>
      </w:pPr>
      <w:r>
        <w:rPr>
          <w:rFonts w:ascii="宋体" w:eastAsia="仿宋_GB2312" w:cs="宋体" w:hAnsi="宋体" w:hint="eastAsia"/>
          <w:kern w:val="0"/>
          <w:sz w:val="32"/>
          <w:szCs w:val="32"/>
        </w:rPr>
        <w:t>市场监管是坚持和完善中国特色社会主义制度、推进国家治理体系和治理能力现代化的重要内容，是使市场在资源配置中起决定性作用和更好发挥政府作用的有力保障，对于高质量高标准建设海南自由贸易港具有重大意义。根据党</w:t>
      </w:r>
      <w:r>
        <w:rPr>
          <w:rFonts w:ascii="宋体" w:eastAsia="仿宋_GB2312" w:cs="宋体" w:hAnsi="宋体"/>
          <w:kern w:val="0"/>
          <w:sz w:val="32"/>
          <w:szCs w:val="32"/>
        </w:rPr>
        <w:t>的十九大和十九届</w:t>
      </w:r>
      <w:r>
        <w:rPr>
          <w:rFonts w:ascii="宋体" w:eastAsia="仿宋_GB2312" w:cs="宋体" w:hAnsi="宋体" w:hint="eastAsia"/>
          <w:kern w:val="0"/>
          <w:sz w:val="32"/>
          <w:szCs w:val="32"/>
        </w:rPr>
        <w:t>二中</w:t>
      </w:r>
      <w:r>
        <w:rPr>
          <w:rFonts w:ascii="宋体" w:eastAsia="仿宋_GB2312" w:cs="宋体" w:hAnsi="宋体"/>
          <w:kern w:val="0"/>
          <w:sz w:val="32"/>
          <w:szCs w:val="32"/>
        </w:rPr>
        <w:t>、三中、四中、五中全会</w:t>
      </w:r>
      <w:r>
        <w:rPr>
          <w:rFonts w:ascii="宋体" w:eastAsia="仿宋_GB2312" w:cs="宋体" w:hAnsi="宋体" w:hint="eastAsia"/>
          <w:kern w:val="0"/>
          <w:sz w:val="32"/>
          <w:szCs w:val="32"/>
        </w:rPr>
        <w:t>及习近平总书记在庆祝海南建省办经济特区30周年大会上的重要讲话</w:t>
      </w:r>
      <w:r>
        <w:rPr>
          <w:rFonts w:ascii="宋体" w:eastAsia="仿宋_GB2312" w:cs="宋体" w:hAnsi="宋体"/>
          <w:kern w:val="0"/>
          <w:sz w:val="32"/>
          <w:szCs w:val="32"/>
        </w:rPr>
        <w:t>精神</w:t>
      </w:r>
      <w:r>
        <w:rPr>
          <w:rFonts w:ascii="宋体" w:eastAsia="仿宋_GB2312" w:cs="宋体" w:hAnsi="宋体" w:hint="eastAsia"/>
          <w:kern w:val="0"/>
          <w:sz w:val="32"/>
          <w:szCs w:val="32"/>
        </w:rPr>
        <w:t>,《海南自由贸易港建设总体方案》《中共海南省委关于制定国民经济和社会发展第十四个五年规划和二</w:t>
      </w:r>
      <w:r>
        <w:rPr>
          <w:rFonts w:ascii="宋体" w:eastAsia="仿宋_GB2312" w:cs="仿宋_GB2312" w:hAnsi="宋体" w:hint="eastAsia"/>
          <w:kern w:val="0"/>
          <w:sz w:val="32"/>
          <w:szCs w:val="32"/>
        </w:rPr>
        <w:t>○</w:t>
      </w:r>
      <w:r>
        <w:rPr>
          <w:rFonts w:ascii="宋体" w:eastAsia="仿宋_GB2312" w:cs="宋体" w:hAnsi="宋体" w:hint="eastAsia"/>
          <w:kern w:val="0"/>
          <w:sz w:val="32"/>
          <w:szCs w:val="32"/>
        </w:rPr>
        <w:t>三五年远景目标的建议》《</w:t>
      </w:r>
      <w:r>
        <w:rPr>
          <w:rFonts w:ascii="宋体" w:eastAsia="仿宋_GB2312" w:cs="宋体" w:hAnsi="宋体"/>
          <w:kern w:val="0"/>
          <w:sz w:val="32"/>
          <w:szCs w:val="32"/>
        </w:rPr>
        <w:t>海南省国民经济和社会发展第十四个五年规划</w:t>
      </w:r>
      <w:r>
        <w:rPr>
          <w:rFonts w:ascii="宋体" w:eastAsia="仿宋_GB2312" w:cs="宋体" w:hAnsi="宋体" w:hint="eastAsia"/>
          <w:kern w:val="0"/>
          <w:sz w:val="32"/>
          <w:szCs w:val="32"/>
        </w:rPr>
        <w:t>和二</w:t>
      </w:r>
      <w:r>
        <w:rPr>
          <w:rFonts w:ascii="宋体" w:eastAsia="仿宋_GB2312" w:cs="仿宋_GB2312" w:hAnsi="宋体" w:hint="eastAsia"/>
          <w:kern w:val="0"/>
          <w:sz w:val="32"/>
          <w:szCs w:val="32"/>
        </w:rPr>
        <w:t>○</w:t>
      </w:r>
      <w:r>
        <w:rPr>
          <w:rFonts w:ascii="宋体" w:eastAsia="仿宋_GB2312" w:cs="宋体" w:hAnsi="宋体" w:hint="eastAsia"/>
          <w:kern w:val="0"/>
          <w:sz w:val="32"/>
          <w:szCs w:val="32"/>
        </w:rPr>
        <w:t>三五年远景目标</w:t>
      </w:r>
      <w:r>
        <w:rPr>
          <w:rFonts w:ascii="宋体" w:eastAsia="仿宋_GB2312" w:cs="宋体" w:hAnsi="宋体"/>
          <w:kern w:val="0"/>
          <w:sz w:val="32"/>
          <w:szCs w:val="32"/>
        </w:rPr>
        <w:t>纲要》</w:t>
      </w:r>
      <w:r>
        <w:rPr>
          <w:rFonts w:ascii="宋体" w:eastAsia="仿宋_GB2312" w:cs="宋体" w:hAnsi="宋体" w:hint="eastAsia"/>
          <w:kern w:val="0"/>
          <w:sz w:val="32"/>
          <w:szCs w:val="32"/>
        </w:rPr>
        <w:t>要求,市场监管总局“十四五”时期的改革部署，围绕海南自由贸易港战略定位，现就海南省“十四五”时期市场监管工作作出以下规划。</w:t>
      </w:r>
    </w:p>
    <w:p>
      <w:pPr>
        <w:pStyle w:val="37"/>
        <w:keepNext w:val="0"/>
        <w:keepLines w:val="0"/>
        <w:widowControl w:val="0"/>
        <w:overflowPunct w:val="0"/>
        <w:spacing w:before="100" w:beforeAutospacing="1" w:after="100" w:afterAutospacing="1" w:line="579" w:lineRule="exact"/>
        <w:textAlignment w:val="baseline"/>
        <w:rPr>
          <w:rFonts w:ascii="宋体" w:hAnsi="宋体"/>
          <w:b w:val="0"/>
          <w:szCs w:val="32"/>
        </w:rPr>
      </w:pPr>
      <w:bookmarkStart w:id="1" w:name="_Toc67532129"/>
      <w:r>
        <w:rPr>
          <w:rFonts w:ascii="宋体" w:hAnsi="宋体" w:hint="eastAsia"/>
          <w:b w:val="0"/>
          <w:szCs w:val="32"/>
        </w:rPr>
        <w:t>一、发展环境</w:t>
      </w:r>
      <w:bookmarkEnd w:id="1"/>
    </w:p>
    <w:p>
      <w:pPr>
        <w:overflowPunct w:val="0"/>
        <w:spacing w:line="579" w:lineRule="exact"/>
        <w:ind w:firstLineChars="200" w:firstLine="640"/>
        <w:textAlignment w:val="baseline"/>
        <w:rPr>
          <w:rFonts w:ascii="宋体" w:eastAsia="仿宋_GB2312" w:cs="宋体" w:hAnsi="宋体"/>
          <w:kern w:val="0"/>
          <w:sz w:val="32"/>
          <w:szCs w:val="32"/>
        </w:rPr>
      </w:pPr>
      <w:bookmarkStart w:id="2" w:name="_Toc67532130"/>
      <w:r>
        <w:rPr>
          <w:rStyle w:val="22Char"/>
          <w:rFonts w:ascii="宋体" w:eastAsia="楷体_GB2312" w:hAnsi="宋体" w:hint="eastAsia"/>
          <w:b w:val="0"/>
        </w:rPr>
        <w:t>（一）“十三五”时期市场监管改革发展取得</w:t>
      </w:r>
      <w:bookmarkEnd w:id="2"/>
      <w:r>
        <w:rPr>
          <w:rStyle w:val="22Char"/>
          <w:rFonts w:ascii="宋体" w:eastAsia="楷体_GB2312" w:hAnsi="宋体" w:hint="eastAsia"/>
          <w:b w:val="0"/>
        </w:rPr>
        <w:t>积极成效</w:t>
      </w:r>
      <w:r>
        <w:rPr>
          <w:rFonts w:ascii="宋体" w:eastAsia="楷体_GB2312" w:cs="宋体" w:hAnsi="宋体" w:hint="eastAsia"/>
          <w:bCs/>
          <w:kern w:val="0"/>
          <w:sz w:val="32"/>
          <w:szCs w:val="32"/>
        </w:rPr>
        <w:t>。</w:t>
      </w:r>
      <w:r>
        <w:rPr>
          <w:rFonts w:ascii="宋体" w:eastAsia="仿宋_GB2312" w:cs="宋体" w:hAnsi="宋体" w:hint="eastAsia"/>
          <w:kern w:val="0"/>
          <w:sz w:val="32"/>
          <w:szCs w:val="32"/>
        </w:rPr>
        <w:t>“十三五”时期是我省市场监管体制改革期、制度创新期、效能提升期。在党中央、国务院的正确领导下，全省重视和加强市场监管工作，市场监管体制改革阶段性任务基本完成，“放管服”改革迈上新台阶，市场监管制度创新成效逐步显现，服务我省经济社会发展的作用进一步提升。</w:t>
      </w:r>
    </w:p>
    <w:p>
      <w:pPr>
        <w:overflowPunct w:val="0"/>
        <w:spacing w:line="579" w:lineRule="exact"/>
        <w:ind w:firstLineChars="200" w:firstLine="640"/>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市场监管新体制基本建立。组建省市场监管局、省药品监管局、省知识产权局，完成市场监管领域综合执法改革，实现部门分权设置向整体性设置转变，职能配置由分段、分事项监管向统一监管转变，监管方式由传统手段向信息化、智能化转变，基本实现一类事项由一个部门统筹、一件事情由一个部门负责，市场监管机构设置更加科学、职能更加优化、权责更加协同、监管更加有力、运行更加高效。</w:t>
      </w:r>
    </w:p>
    <w:p>
      <w:pPr>
        <w:overflowPunct w:val="0"/>
        <w:spacing w:line="579" w:lineRule="exact"/>
        <w:ind w:firstLineChars="221" w:firstLine="707"/>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市场监管新型机制基本建立。厘清政府和市场的关系，简政放权深入推进，以清单管理模式厘清行政执法职责边界，大幅减少不必要的监管执法事项。信息化、智能化监管方式广泛运用，推进大数据、互联网、信息技术与监管业务的高度融合，建立涉企信息统一归集公示及联合惩戒机制，出台企业信用分级监管办法，提高信用风险预测预警和动态监测能力，以“双随机、一公开”</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1]</w:t>
      </w:r>
      <w:r>
        <w:rPr>
          <w:rFonts w:ascii="宋体" w:eastAsia="仿宋_GB2312" w:cs="宋体" w:hAnsi="宋体" w:hint="eastAsia"/>
          <w:kern w:val="0"/>
          <w:sz w:val="32"/>
          <w:szCs w:val="32"/>
        </w:rPr>
        <w:t>为基本手段、以重点监管为补充、以信用监管为基础的新型监管机制基本建立，实现侧重于事前防范向强化事中事后监管转变。发挥行业协会、第三方组织、市场主体作用，企业自治、行业自律、社会监督、政府监管的格局基本形成，社会共治迈出坚实步伐。以地方立法形式引领压茬“放管服”改革纵深推进和制度集成创新，确保改革在法治道路上前行。全面落实行政执法“三项制度”</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2]</w:t>
      </w:r>
      <w:r>
        <w:rPr>
          <w:rFonts w:ascii="宋体" w:eastAsia="仿宋_GB2312" w:cs="宋体" w:hAnsi="宋体" w:hint="eastAsia"/>
          <w:kern w:val="0"/>
          <w:sz w:val="32"/>
          <w:szCs w:val="32"/>
        </w:rPr>
        <w:t>，夯实依法行政的法治基础。</w:t>
      </w:r>
    </w:p>
    <w:p>
      <w:pPr>
        <w:overflowPunct w:val="0"/>
        <w:spacing w:line="579" w:lineRule="exact"/>
        <w:ind w:firstLineChars="200" w:firstLine="640"/>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安全监管现代化基础性制度基本建立。基本建立食品</w:t>
      </w:r>
      <w:r>
        <w:rPr>
          <w:rFonts w:ascii="宋体" w:eastAsia="仿宋_GB2312" w:cs="宋体" w:hAnsi="宋体"/>
          <w:kern w:val="0"/>
          <w:sz w:val="32"/>
          <w:szCs w:val="32"/>
        </w:rPr>
        <w:t>药品安全全过程监管体系</w:t>
      </w:r>
      <w:r>
        <w:rPr>
          <w:rFonts w:ascii="宋体" w:eastAsia="仿宋_GB2312" w:cs="宋体" w:hAnsi="宋体" w:hint="eastAsia"/>
          <w:kern w:val="0"/>
          <w:sz w:val="32"/>
          <w:szCs w:val="32"/>
        </w:rPr>
        <w:t>，食品药品检验检测能力不断提高，食品、药品、医疗器械和化妆品抽检合格率98%以上，人民群众饮食用药安全得到保障。设立博鳌乐城国际</w:t>
      </w:r>
      <w:r>
        <w:rPr>
          <w:rFonts w:ascii="宋体" w:eastAsia="仿宋_GB2312" w:cs="宋体" w:hAnsi="宋体"/>
          <w:kern w:val="0"/>
          <w:sz w:val="32"/>
          <w:szCs w:val="32"/>
        </w:rPr>
        <w:t>医疗旅游先行区</w:t>
      </w:r>
      <w:r>
        <w:rPr>
          <w:rFonts w:ascii="宋体" w:eastAsia="仿宋_GB2312" w:cs="宋体" w:hAnsi="宋体" w:hint="eastAsia"/>
          <w:kern w:val="0"/>
          <w:sz w:val="32"/>
          <w:szCs w:val="32"/>
        </w:rPr>
        <w:t>医疗药品监管局、省药品医疗器械审评服务中心和博鳌乐城国际</w:t>
      </w:r>
      <w:r>
        <w:rPr>
          <w:rFonts w:ascii="宋体" w:eastAsia="仿宋_GB2312" w:cs="宋体" w:hAnsi="宋体"/>
          <w:kern w:val="0"/>
          <w:sz w:val="32"/>
          <w:szCs w:val="32"/>
        </w:rPr>
        <w:t>医疗旅游</w:t>
      </w:r>
      <w:r>
        <w:rPr>
          <w:rFonts w:ascii="宋体" w:eastAsia="仿宋_GB2312" w:cs="宋体" w:hAnsi="宋体" w:hint="eastAsia"/>
          <w:kern w:val="0"/>
          <w:sz w:val="32"/>
          <w:szCs w:val="32"/>
        </w:rPr>
        <w:t>先行区药品不良反应监测中心，监管、监测、服务能力显著提升。先行先试临床急需进口药品医疗器械政策，开展临床真实世界数据应用研究</w:t>
      </w:r>
      <w:r>
        <w:rPr>
          <w:rFonts w:ascii="宋体" w:eastAsia="仿宋_GB2312" w:cs="宋体" w:hAnsi="宋体" w:hint="eastAsia"/>
          <w:kern w:val="0"/>
          <w:sz w:val="32"/>
          <w:szCs w:val="32"/>
          <w:vertAlign w:val="superscript"/>
        </w:rPr>
        <w:t>[3]</w:t>
      </w:r>
      <w:r>
        <w:rPr>
          <w:rFonts w:ascii="宋体" w:eastAsia="仿宋_GB2312" w:cs="宋体" w:hAnsi="宋体" w:hint="eastAsia"/>
          <w:kern w:val="0"/>
          <w:sz w:val="32"/>
          <w:szCs w:val="32"/>
        </w:rPr>
        <w:t>工作，为深化国家药品审评审批制度改革提供新途径、新方法。全省特种设备实现安全平稳运行，重大安全风险得到控制。工业产品质量总体水平显著提高，近五年产品质量省级监督抽查综合合格率平均为88%。开展质量强省战略，评选表彰海南省政府质量奖，助力“海南质量”“海南品牌”建设。聚焦国家生态文明试验区、国际旅游消费中心，推进绿色标准体系、国际旅游消费中心标准体系建设。计量、认证认可和检验检测能力逐步增强。</w:t>
      </w:r>
    </w:p>
    <w:p>
      <w:pPr>
        <w:overflowPunct w:val="0"/>
        <w:spacing w:line="579" w:lineRule="exact"/>
        <w:ind w:firstLineChars="200" w:firstLine="640"/>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营商环境更加优化。市场主体准入更加宽松，创建“海南e登记”平台，实现“一网通办”“一窗通办”，100%实现不见面审批，企业开办时间压缩至2个工作日，“证照分离”改革全覆盖，告知承诺全面实行，市场主体大幅增长，市场主体实有11</w:t>
      </w:r>
      <w:r>
        <w:rPr>
          <w:rFonts w:ascii="宋体" w:eastAsia="仿宋_GB2312" w:cs="宋体" w:hAnsi="宋体"/>
          <w:kern w:val="0"/>
          <w:sz w:val="32"/>
          <w:szCs w:val="32"/>
        </w:rPr>
        <w:t>9</w:t>
      </w:r>
      <w:r>
        <w:rPr>
          <w:rFonts w:ascii="宋体" w:eastAsia="仿宋_GB2312" w:cs="宋体" w:hAnsi="宋体" w:hint="eastAsia"/>
          <w:kern w:val="0"/>
          <w:sz w:val="32"/>
          <w:szCs w:val="32"/>
        </w:rPr>
        <w:t>万余户。市场主体登记管理制度更加成熟定型，实行注册官制度，改变层层审批模式，出台《中国（海南）自由贸易试验区商事登记管理条例》，实现“全省通办”等五大制度创新</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4</w:t>
      </w:r>
      <w:r>
        <w:rPr>
          <w:rFonts w:ascii="宋体" w:eastAsia="仿宋_GB2312" w:cs="宋体" w:hAnsi="宋体" w:hint="eastAsia"/>
          <w:kern w:val="0"/>
          <w:sz w:val="32"/>
          <w:szCs w:val="32"/>
          <w:vertAlign w:val="superscript"/>
        </w:rPr>
        <w:t>]</w:t>
      </w:r>
      <w:r>
        <w:rPr>
          <w:rFonts w:ascii="宋体" w:eastAsia="仿宋_GB2312" w:cs="宋体" w:hAnsi="宋体" w:hint="eastAsia"/>
          <w:kern w:val="0"/>
          <w:sz w:val="32"/>
          <w:szCs w:val="32"/>
        </w:rPr>
        <w:t>，商事主体信用修复制度入选国务院第六批改革试点经验，在全国范围复制推广。市场主体退出更加快捷，实行商事主体注销“一网”服务，简易注销公告期减少至7天。产品准入更加便捷，工业产品生产许可种类由</w:t>
      </w:r>
      <w:r>
        <w:rPr>
          <w:rFonts w:ascii="宋体" w:eastAsia="仿宋_GB2312" w:cs="宋体" w:hAnsi="宋体"/>
          <w:kern w:val="0"/>
          <w:sz w:val="32"/>
          <w:szCs w:val="32"/>
        </w:rPr>
        <w:t>61</w:t>
      </w:r>
      <w:r>
        <w:rPr>
          <w:rFonts w:ascii="宋体" w:eastAsia="仿宋_GB2312" w:cs="宋体" w:hAnsi="宋体" w:hint="eastAsia"/>
          <w:kern w:val="0"/>
          <w:sz w:val="32"/>
          <w:szCs w:val="32"/>
        </w:rPr>
        <w:t>类压减至</w:t>
      </w:r>
      <w:r>
        <w:rPr>
          <w:rFonts w:ascii="宋体" w:eastAsia="仿宋_GB2312" w:cs="宋体" w:hAnsi="宋体"/>
          <w:kern w:val="0"/>
          <w:sz w:val="32"/>
          <w:szCs w:val="32"/>
        </w:rPr>
        <w:t>10</w:t>
      </w:r>
      <w:r>
        <w:rPr>
          <w:rFonts w:ascii="宋体" w:eastAsia="仿宋_GB2312" w:cs="宋体" w:hAnsi="宋体" w:hint="eastAsia"/>
          <w:kern w:val="0"/>
          <w:sz w:val="32"/>
          <w:szCs w:val="32"/>
        </w:rPr>
        <w:t>类，对</w:t>
      </w:r>
      <w:r>
        <w:rPr>
          <w:rFonts w:ascii="宋体" w:eastAsia="仿宋_GB2312" w:cs="宋体" w:hAnsi="宋体"/>
          <w:kern w:val="0"/>
          <w:sz w:val="32"/>
          <w:szCs w:val="32"/>
        </w:rPr>
        <w:t>19</w:t>
      </w:r>
      <w:r>
        <w:rPr>
          <w:rFonts w:ascii="宋体" w:eastAsia="仿宋_GB2312" w:cs="宋体" w:hAnsi="宋体" w:hint="eastAsia"/>
          <w:kern w:val="0"/>
          <w:sz w:val="32"/>
          <w:szCs w:val="32"/>
        </w:rPr>
        <w:t>种产品不再实行强制性认证，转为企业自我声明。</w:t>
      </w:r>
    </w:p>
    <w:p>
      <w:pPr>
        <w:overflowPunct w:val="0"/>
        <w:spacing w:line="579" w:lineRule="exact"/>
        <w:ind w:firstLineChars="200" w:firstLine="640"/>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竞争环境更加优化。竞争政策基础性地位不断巩固，我省作为全国第一个实施“强化竞争政策”试点省份，成立全国第一个省级反垄断委员会，实现公平竞争审查制度省、市、县政府全覆盖。知识产权保护法治化程度稳步提高，设立海南自由贸易试验区知识产权仲裁调解中心，建立诉调对接机制。探索知识产权权属分配制度改革，省市场监管局</w:t>
      </w:r>
      <w:r>
        <w:rPr>
          <w:rFonts w:ascii="宋体" w:eastAsia="仿宋_GB2312" w:cs="宋体" w:hAnsi="宋体"/>
          <w:kern w:val="0"/>
          <w:sz w:val="32"/>
          <w:szCs w:val="32"/>
        </w:rPr>
        <w:t>等8</w:t>
      </w:r>
      <w:r>
        <w:rPr>
          <w:rFonts w:ascii="宋体" w:eastAsia="仿宋_GB2312" w:cs="宋体" w:hAnsi="宋体" w:hint="eastAsia"/>
          <w:kern w:val="0"/>
          <w:sz w:val="32"/>
          <w:szCs w:val="32"/>
        </w:rPr>
        <w:t>部门印发《关于支持我省高等院校和科研院所开展职务发明专利所有权或长期使用权改革试点的指导意见》，开展地理标志保护产品专用标志使用核准改革试点，积极探索知识产权证券化，发行我国首单知识产权证券化产品。截至“十三五”时期末，我省有效商标注册量</w:t>
      </w:r>
      <w:r>
        <w:rPr>
          <w:rFonts w:ascii="宋体" w:eastAsia="仿宋_GB2312" w:cs="宋体" w:hAnsi="宋体"/>
          <w:kern w:val="0"/>
          <w:sz w:val="32"/>
          <w:szCs w:val="32"/>
        </w:rPr>
        <w:t>12.07</w:t>
      </w:r>
      <w:r>
        <w:rPr>
          <w:rFonts w:ascii="宋体" w:eastAsia="仿宋_GB2312" w:cs="宋体" w:hAnsi="宋体" w:hint="eastAsia"/>
          <w:kern w:val="0"/>
          <w:sz w:val="32"/>
          <w:szCs w:val="32"/>
        </w:rPr>
        <w:t>万件，地理标志数量</w:t>
      </w:r>
      <w:r>
        <w:rPr>
          <w:rFonts w:ascii="宋体" w:eastAsia="仿宋_GB2312" w:cs="宋体" w:hAnsi="宋体"/>
          <w:kern w:val="0"/>
          <w:sz w:val="32"/>
          <w:szCs w:val="32"/>
        </w:rPr>
        <w:t>96</w:t>
      </w:r>
      <w:r>
        <w:rPr>
          <w:rFonts w:ascii="宋体" w:eastAsia="仿宋_GB2312" w:cs="宋体" w:hAnsi="宋体" w:hint="eastAsia"/>
          <w:kern w:val="0"/>
          <w:sz w:val="32"/>
          <w:szCs w:val="32"/>
        </w:rPr>
        <w:t>件，知识产权质押融资金额</w:t>
      </w:r>
      <w:r>
        <w:rPr>
          <w:rFonts w:ascii="宋体" w:eastAsia="仿宋_GB2312" w:cs="宋体" w:hAnsi="宋体"/>
          <w:kern w:val="0"/>
          <w:sz w:val="32"/>
          <w:szCs w:val="32"/>
        </w:rPr>
        <w:t>29.2</w:t>
      </w:r>
      <w:r>
        <w:rPr>
          <w:rFonts w:ascii="宋体" w:eastAsia="仿宋_GB2312" w:cs="宋体" w:hAnsi="宋体" w:hint="eastAsia"/>
          <w:kern w:val="0"/>
          <w:sz w:val="32"/>
          <w:szCs w:val="32"/>
        </w:rPr>
        <w:t>亿元。加大反垄断、反不正当竞争、价格监督检查、网络平台监管、广告监管、打击传销、疫情防控等执法力度，查办了一批典型案件，市场秩序稳步向好。</w:t>
      </w:r>
    </w:p>
    <w:p>
      <w:pPr>
        <w:tabs>
          <w:tab w:val="left" w:pos="765"/>
        </w:tabs>
        <w:overflowPunct w:val="0"/>
        <w:spacing w:line="579" w:lineRule="exact"/>
        <w:ind w:firstLineChars="200" w:firstLine="640"/>
        <w:textAlignment w:val="baseline"/>
        <w:rPr>
          <w:rFonts w:ascii="宋体" w:eastAsia="仿宋_GB2312" w:cs="宋体" w:hAnsi="宋体"/>
          <w:spacing w:val="-4"/>
          <w:kern w:val="0"/>
          <w:sz w:val="32"/>
          <w:szCs w:val="32"/>
        </w:rPr>
      </w:pPr>
      <w:r>
        <w:rPr>
          <w:rFonts w:ascii="宋体" w:cs="宋体" w:hint="eastAsia"/>
          <w:kern w:val="0"/>
          <w:sz w:val="32"/>
          <w:szCs w:val="32"/>
        </w:rPr>
        <w:t>——</w:t>
      </w:r>
      <w:r>
        <w:rPr>
          <w:rFonts w:ascii="宋体" w:eastAsia="仿宋_GB2312" w:cs="宋体" w:hAnsi="宋体" w:hint="eastAsia"/>
          <w:spacing w:val="-4"/>
          <w:kern w:val="0"/>
          <w:sz w:val="32"/>
          <w:szCs w:val="32"/>
        </w:rPr>
        <w:t>消费环境更加优化。适应建设</w:t>
      </w:r>
      <w:r>
        <w:rPr>
          <w:rFonts w:ascii="宋体" w:eastAsia="仿宋_GB2312" w:cs="宋体" w:hAnsi="宋体"/>
          <w:spacing w:val="-4"/>
          <w:kern w:val="0"/>
          <w:sz w:val="32"/>
          <w:szCs w:val="32"/>
        </w:rPr>
        <w:t>国际旅游消费中心</w:t>
      </w:r>
      <w:r>
        <w:rPr>
          <w:rFonts w:ascii="宋体" w:eastAsia="仿宋_GB2312" w:cs="宋体" w:hAnsi="宋体" w:hint="eastAsia"/>
          <w:spacing w:val="-4"/>
          <w:kern w:val="0"/>
          <w:sz w:val="32"/>
          <w:szCs w:val="32"/>
        </w:rPr>
        <w:t>需要</w:t>
      </w:r>
      <w:r>
        <w:rPr>
          <w:rFonts w:ascii="宋体" w:eastAsia="仿宋_GB2312" w:cs="宋体" w:hAnsi="宋体"/>
          <w:spacing w:val="-4"/>
          <w:kern w:val="0"/>
          <w:sz w:val="32"/>
          <w:szCs w:val="32"/>
        </w:rPr>
        <w:t>的</w:t>
      </w:r>
      <w:r>
        <w:rPr>
          <w:rFonts w:ascii="宋体" w:eastAsia="仿宋_GB2312" w:cs="宋体" w:hAnsi="宋体" w:hint="eastAsia"/>
          <w:spacing w:val="-4"/>
          <w:kern w:val="0"/>
          <w:sz w:val="32"/>
          <w:szCs w:val="32"/>
        </w:rPr>
        <w:t>全省</w:t>
      </w:r>
      <w:r>
        <w:rPr>
          <w:rFonts w:ascii="宋体" w:eastAsia="仿宋_GB2312" w:cs="宋体" w:hAnsi="宋体"/>
          <w:spacing w:val="-4"/>
          <w:kern w:val="0"/>
          <w:sz w:val="32"/>
          <w:szCs w:val="32"/>
        </w:rPr>
        <w:t>消费维权机制</w:t>
      </w:r>
      <w:r>
        <w:rPr>
          <w:rFonts w:ascii="宋体" w:eastAsia="仿宋_GB2312" w:cs="宋体" w:hAnsi="宋体" w:hint="eastAsia"/>
          <w:spacing w:val="-4"/>
          <w:kern w:val="0"/>
          <w:sz w:val="32"/>
          <w:szCs w:val="32"/>
        </w:rPr>
        <w:t>初步</w:t>
      </w:r>
      <w:r>
        <w:rPr>
          <w:rFonts w:ascii="宋体" w:eastAsia="仿宋_GB2312" w:cs="宋体" w:hAnsi="宋体"/>
          <w:spacing w:val="-4"/>
          <w:kern w:val="0"/>
          <w:sz w:val="32"/>
          <w:szCs w:val="32"/>
        </w:rPr>
        <w:t>建立，</w:t>
      </w:r>
      <w:r>
        <w:rPr>
          <w:rFonts w:ascii="宋体" w:eastAsia="仿宋_GB2312" w:cs="宋体" w:hAnsi="宋体" w:hint="eastAsia"/>
          <w:spacing w:val="-4"/>
          <w:kern w:val="0"/>
          <w:sz w:val="32"/>
          <w:szCs w:val="32"/>
        </w:rPr>
        <w:t>消费投诉举报数据的分析、应用、共享更加便捷，消费维权效率进一步提升。完成“五线合一”</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5</w:t>
      </w:r>
      <w:r>
        <w:rPr>
          <w:rFonts w:ascii="宋体" w:eastAsia="仿宋_GB2312" w:cs="宋体" w:hAnsi="宋体" w:hint="eastAsia"/>
          <w:kern w:val="0"/>
          <w:sz w:val="32"/>
          <w:szCs w:val="32"/>
          <w:vertAlign w:val="superscript"/>
        </w:rPr>
        <w:t>]</w:t>
      </w:r>
      <w:r>
        <w:rPr>
          <w:rFonts w:ascii="宋体" w:eastAsia="仿宋_GB2312" w:cs="宋体" w:hAnsi="宋体" w:hint="eastAsia"/>
          <w:spacing w:val="-4"/>
          <w:kern w:val="0"/>
          <w:sz w:val="32"/>
          <w:szCs w:val="32"/>
        </w:rPr>
        <w:t>，并入省政府12345平台，基本实现基层消费投诉举报网络城乡全覆盖、重点领域和投诉热点领域全覆盖。实施“实体店购买商品无理由退货承诺”“消费环节赔偿先付”“ODR”</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6</w:t>
      </w:r>
      <w:r>
        <w:rPr>
          <w:rFonts w:ascii="宋体" w:eastAsia="仿宋_GB2312" w:cs="宋体" w:hAnsi="宋体" w:hint="eastAsia"/>
          <w:kern w:val="0"/>
          <w:sz w:val="32"/>
          <w:szCs w:val="32"/>
          <w:vertAlign w:val="superscript"/>
        </w:rPr>
        <w:t>]</w:t>
      </w:r>
      <w:r>
        <w:rPr>
          <w:rFonts w:ascii="宋体" w:eastAsia="仿宋_GB2312" w:cs="宋体" w:hAnsi="宋体" w:hint="eastAsia"/>
          <w:spacing w:val="-4"/>
          <w:kern w:val="0"/>
          <w:sz w:val="32"/>
          <w:szCs w:val="32"/>
        </w:rPr>
        <w:t>“诉转案”</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7</w:t>
      </w:r>
      <w:r>
        <w:rPr>
          <w:rFonts w:ascii="宋体" w:eastAsia="仿宋_GB2312" w:cs="宋体" w:hAnsi="宋体" w:hint="eastAsia"/>
          <w:kern w:val="0"/>
          <w:sz w:val="32"/>
          <w:szCs w:val="32"/>
          <w:vertAlign w:val="superscript"/>
        </w:rPr>
        <w:t>]</w:t>
      </w:r>
      <w:r>
        <w:rPr>
          <w:rFonts w:ascii="宋体" w:eastAsia="仿宋_GB2312" w:cs="宋体" w:hAnsi="宋体" w:hint="eastAsia"/>
          <w:spacing w:val="-4"/>
          <w:kern w:val="0"/>
          <w:sz w:val="32"/>
          <w:szCs w:val="32"/>
        </w:rPr>
        <w:t>等制度，消费维权关口前移，渠道拓宽。建立消费投诉信息公示制度，促进涉诉企业主动落实消费维权主体责任。强化消费维权行政保护工作，查处一批侵犯消费者合法权益案件，营造良好消费环境。</w:t>
      </w:r>
    </w:p>
    <w:p>
      <w:pPr>
        <w:overflowPunct w:val="0"/>
        <w:spacing w:line="579" w:lineRule="exact"/>
        <w:ind w:firstLineChars="200" w:firstLine="640"/>
        <w:textAlignment w:val="baseline"/>
        <w:rPr>
          <w:rFonts w:ascii="宋体" w:eastAsia="仿宋_GB2312" w:cs="仿宋_GB2312" w:hAnsi="宋体"/>
          <w:sz w:val="32"/>
          <w:szCs w:val="32"/>
        </w:rPr>
      </w:pPr>
      <w:bookmarkStart w:id="3" w:name="_Toc67532131"/>
      <w:r>
        <w:rPr>
          <w:rStyle w:val="22Char"/>
          <w:rFonts w:ascii="宋体" w:eastAsia="楷体_GB2312" w:hAnsi="宋体" w:hint="eastAsia"/>
          <w:b w:val="0"/>
        </w:rPr>
        <w:t>（二）建设高标准市场体系面临的新形势新要求</w:t>
      </w:r>
      <w:bookmarkEnd w:id="3"/>
      <w:r>
        <w:rPr>
          <w:rStyle w:val="22Char"/>
          <w:rFonts w:ascii="宋体" w:eastAsia="楷体_GB2312" w:hAnsi="宋体" w:hint="eastAsia"/>
          <w:b w:val="0"/>
        </w:rPr>
        <w:t>。</w:t>
      </w:r>
      <w:r>
        <w:rPr>
          <w:rFonts w:ascii="宋体" w:eastAsia="仿宋_GB2312" w:cs="仿宋_GB2312" w:hAnsi="宋体" w:hint="eastAsia"/>
          <w:sz w:val="32"/>
          <w:szCs w:val="32"/>
        </w:rPr>
        <w:t>建设中国特色、海南特点的高标准市场体系，需要从国际视野、国家站位、海南实际三个维度充分认识面临的新形势新要求。</w:t>
      </w:r>
    </w:p>
    <w:p>
      <w:pPr>
        <w:overflowPunct w:val="0"/>
        <w:spacing w:line="579" w:lineRule="exact"/>
        <w:ind w:firstLineChars="200" w:firstLine="640"/>
        <w:textAlignment w:val="baseline"/>
        <w:rPr>
          <w:rFonts w:ascii="宋体" w:eastAsia="仿宋_GB2312" w:cs="宋体" w:hAnsi="宋体"/>
          <w:kern w:val="0"/>
          <w:sz w:val="32"/>
          <w:szCs w:val="32"/>
        </w:rPr>
      </w:pPr>
      <w:r>
        <w:rPr>
          <w:rFonts w:ascii="宋体" w:eastAsia="仿宋_GB2312" w:cs="仿宋_GB2312" w:hAnsi="宋体" w:hint="eastAsia"/>
          <w:sz w:val="32"/>
          <w:szCs w:val="32"/>
        </w:rPr>
        <w:t>从国际视野看，</w:t>
      </w:r>
      <w:r>
        <w:rPr>
          <w:rFonts w:ascii="宋体" w:eastAsia="仿宋_GB2312" w:cs="宋体" w:hAnsi="宋体" w:hint="eastAsia"/>
          <w:kern w:val="0"/>
          <w:sz w:val="32"/>
          <w:szCs w:val="32"/>
        </w:rPr>
        <w:t>我省处于构建以国内大循环为主体、国际国内双循环相互促进的交汇口，是我国市场监管规则与国际规则的缓冲地和对接口，规则差异充分显露出来。中央赋予我省“主动适应国际经贸规则重构新趋势”“打造对外开放新高地”的历史使命，要求我省必须全面准确把握当前我国市场监管规则与国际规则的差异，</w:t>
      </w:r>
      <w:r>
        <w:rPr>
          <w:rFonts w:ascii="宋体" w:eastAsia="仿宋_GB2312" w:cs="仿宋_GB2312" w:hAnsi="宋体" w:hint="eastAsia"/>
          <w:sz w:val="32"/>
          <w:szCs w:val="32"/>
        </w:rPr>
        <w:t>在对标国际上先行一步，</w:t>
      </w:r>
      <w:r>
        <w:rPr>
          <w:rFonts w:ascii="宋体" w:eastAsia="仿宋_GB2312" w:cs="宋体" w:hAnsi="宋体" w:hint="eastAsia"/>
          <w:kern w:val="0"/>
          <w:sz w:val="32"/>
          <w:szCs w:val="32"/>
        </w:rPr>
        <w:t>拉底线，对高线，与国际保持一个水平线，在一些市场监管规则制定上还要担当领跑者的重任。“十四五”期间，我省在对接国际规则、推动监管标准规则等制度型开放上任务艰巨，这既是严峻挑战，也是发展机遇。</w:t>
      </w:r>
    </w:p>
    <w:p>
      <w:pPr>
        <w:spacing w:line="579" w:lineRule="exact"/>
        <w:ind w:firstLineChars="200" w:firstLine="640"/>
        <w:textAlignment w:val="baseline"/>
        <w:rPr>
          <w:rFonts w:ascii="宋体" w:eastAsia="仿宋_GB2312" w:cs="仿宋_GB2312" w:hAnsi="宋体"/>
          <w:sz w:val="32"/>
          <w:szCs w:val="32"/>
        </w:rPr>
      </w:pPr>
      <w:r>
        <w:rPr>
          <w:rFonts w:ascii="宋体" w:eastAsia="仿宋_GB2312" w:cs="仿宋_GB2312" w:hAnsi="宋体" w:hint="eastAsia"/>
          <w:sz w:val="32"/>
          <w:szCs w:val="32"/>
        </w:rPr>
        <w:t>从</w:t>
      </w:r>
      <w:r>
        <w:rPr>
          <w:rFonts w:ascii="宋体" w:eastAsia="仿宋_GB2312" w:cs="仿宋_GB2312" w:hAnsi="宋体"/>
          <w:sz w:val="32"/>
          <w:szCs w:val="32"/>
        </w:rPr>
        <w:t>国家站位看，</w:t>
      </w:r>
      <w:r>
        <w:rPr>
          <w:rFonts w:ascii="宋体" w:eastAsia="仿宋_GB2312" w:cs="仿宋_GB2312" w:hAnsi="宋体" w:hint="eastAsia"/>
          <w:sz w:val="32"/>
          <w:szCs w:val="32"/>
        </w:rPr>
        <w:t>改革完善我国市场监管法律法规和监管制度是当前和今后一个时期的重要任务。要用足用好党中央、国务院赋予海南自由贸易港建设的改革开放政策，在深化市场监管制度改革上大胆探索、先行一步，走在全国前列，创造可复制可推广的经验。“十四五”时期，</w:t>
      </w:r>
      <w:r>
        <w:rPr>
          <w:rFonts w:ascii="宋体" w:eastAsia="仿宋_GB2312" w:cs="宋体" w:hAnsi="宋体" w:hint="eastAsia"/>
          <w:kern w:val="0"/>
          <w:sz w:val="32"/>
          <w:szCs w:val="32"/>
        </w:rPr>
        <w:t>我省</w:t>
      </w:r>
      <w:r>
        <w:rPr>
          <w:rFonts w:ascii="宋体" w:eastAsia="仿宋_GB2312" w:cs="仿宋_GB2312" w:hAnsi="宋体" w:hint="eastAsia"/>
          <w:sz w:val="32"/>
          <w:szCs w:val="32"/>
        </w:rPr>
        <w:t>必须及时掌握党中央、国务院部署的前瞻性、探索性的市场监管改革，全面了解中央赋予其他地区的改革举措，了解国内一些省市的首创做法，及时落实和借鉴到</w:t>
      </w:r>
      <w:r>
        <w:rPr>
          <w:rFonts w:ascii="宋体" w:eastAsia="仿宋_GB2312" w:cs="宋体" w:hAnsi="宋体" w:hint="eastAsia"/>
          <w:kern w:val="0"/>
          <w:sz w:val="32"/>
          <w:szCs w:val="32"/>
        </w:rPr>
        <w:t>我省</w:t>
      </w:r>
      <w:r>
        <w:rPr>
          <w:rFonts w:ascii="宋体" w:eastAsia="仿宋_GB2312" w:cs="仿宋_GB2312" w:hAnsi="宋体" w:hint="eastAsia"/>
          <w:sz w:val="32"/>
          <w:szCs w:val="32"/>
        </w:rPr>
        <w:t>市场监管改革工作中。</w:t>
      </w:r>
    </w:p>
    <w:p>
      <w:pPr>
        <w:spacing w:line="579" w:lineRule="exact"/>
        <w:ind w:firstLine="645"/>
        <w:textAlignment w:val="baseline"/>
        <w:rPr>
          <w:rFonts w:ascii="宋体" w:eastAsia="仿宋_GB2312" w:cs="宋体" w:hAnsi="宋体"/>
          <w:kern w:val="0"/>
          <w:sz w:val="32"/>
          <w:szCs w:val="32"/>
        </w:rPr>
      </w:pPr>
      <w:r>
        <w:rPr>
          <w:rFonts w:ascii="宋体" w:eastAsia="仿宋_GB2312" w:cs="仿宋_GB2312" w:hAnsi="宋体" w:hint="eastAsia"/>
          <w:sz w:val="32"/>
          <w:szCs w:val="32"/>
        </w:rPr>
        <w:t>从</w:t>
      </w:r>
      <w:r>
        <w:rPr>
          <w:rFonts w:ascii="宋体" w:eastAsia="仿宋_GB2312" w:cs="宋体" w:hAnsi="宋体" w:hint="eastAsia"/>
          <w:kern w:val="0"/>
          <w:sz w:val="32"/>
          <w:szCs w:val="32"/>
        </w:rPr>
        <w:t>我省</w:t>
      </w:r>
      <w:r>
        <w:rPr>
          <w:rFonts w:ascii="宋体" w:eastAsia="仿宋_GB2312" w:cs="仿宋_GB2312" w:hAnsi="宋体" w:hint="eastAsia"/>
          <w:sz w:val="32"/>
          <w:szCs w:val="32"/>
        </w:rPr>
        <w:t>实际看，</w:t>
      </w:r>
      <w:r>
        <w:rPr>
          <w:rFonts w:ascii="宋体" w:eastAsia="仿宋_GB2312" w:cs="宋体" w:hAnsi="宋体" w:hint="eastAsia"/>
          <w:kern w:val="0"/>
          <w:sz w:val="32"/>
          <w:szCs w:val="32"/>
        </w:rPr>
        <w:t>我省</w:t>
      </w:r>
      <w:r>
        <w:rPr>
          <w:rFonts w:ascii="宋体" w:eastAsia="仿宋_GB2312" w:cs="仿宋_GB2312" w:hAnsi="宋体" w:hint="eastAsia"/>
          <w:sz w:val="32"/>
          <w:szCs w:val="32"/>
        </w:rPr>
        <w:t>是改革开放前沿省但不是经济发达省，经济基础和市场监管基础建设与发达地区还有差距，建设高标准市场体系需要跨越式发展，需要以开放的思想、先进的观念倍加努力工作。“十四五”时期，</w:t>
      </w:r>
      <w:r>
        <w:rPr>
          <w:rFonts w:ascii="宋体" w:eastAsia="仿宋_GB2312" w:cs="宋体" w:hAnsi="宋体" w:hint="eastAsia"/>
          <w:kern w:val="0"/>
          <w:sz w:val="32"/>
          <w:szCs w:val="32"/>
        </w:rPr>
        <w:t>我省</w:t>
      </w:r>
      <w:r>
        <w:rPr>
          <w:rFonts w:ascii="宋体" w:eastAsia="仿宋_GB2312" w:cs="仿宋_GB2312" w:hAnsi="宋体" w:hint="eastAsia"/>
          <w:sz w:val="32"/>
          <w:szCs w:val="32"/>
        </w:rPr>
        <w:t>需要统筹考虑前瞻性、改革性、阶段性，统筹考虑市场经济共性问题、我国市场经济发展阶段性问题、</w:t>
      </w:r>
      <w:r>
        <w:rPr>
          <w:rFonts w:ascii="宋体" w:eastAsia="仿宋_GB2312" w:cs="宋体" w:hAnsi="宋体" w:hint="eastAsia"/>
          <w:kern w:val="0"/>
          <w:sz w:val="32"/>
          <w:szCs w:val="32"/>
        </w:rPr>
        <w:t>我省</w:t>
      </w:r>
      <w:r>
        <w:rPr>
          <w:rFonts w:ascii="宋体" w:eastAsia="仿宋_GB2312" w:cs="仿宋_GB2312" w:hAnsi="宋体" w:hint="eastAsia"/>
          <w:sz w:val="32"/>
          <w:szCs w:val="32"/>
        </w:rPr>
        <w:t>市场特点叠加的情况，着力在建设高标准的市场体系基础制度、要素市场体系、市场环境和质量、市场基础设施、市场开放、现代市场监管机制等方面下功夫，实现高标准市场体系建设目标任务。</w:t>
      </w:r>
    </w:p>
    <w:p>
      <w:pPr>
        <w:pStyle w:val="1"/>
        <w:keepNext w:val="0"/>
        <w:keepLines w:val="0"/>
        <w:widowControl w:val="0"/>
        <w:spacing w:before="100" w:beforeAutospacing="1" w:after="100" w:afterAutospacing="1" w:line="579" w:lineRule="exact"/>
        <w:textAlignment w:val="baseline"/>
        <w:rPr>
          <w:rFonts w:ascii="宋体" w:hAnsi="宋体"/>
          <w:b w:val="0"/>
          <w:shd w:val="clear" w:color="auto" w:fill="FFFFFF"/>
        </w:rPr>
      </w:pPr>
      <w:bookmarkStart w:id="4" w:name="_Toc67532132"/>
      <w:r>
        <w:rPr>
          <w:rFonts w:ascii="宋体" w:hAnsi="宋体" w:hint="eastAsia"/>
          <w:b w:val="0"/>
          <w:shd w:val="clear" w:color="auto" w:fill="FFFFFF"/>
        </w:rPr>
        <w:t>二、总体要求</w:t>
      </w:r>
      <w:bookmarkEnd w:id="4"/>
    </w:p>
    <w:p>
      <w:pPr>
        <w:spacing w:line="579" w:lineRule="exact"/>
        <w:ind w:firstLine="645"/>
        <w:textAlignment w:val="baseline"/>
        <w:rPr>
          <w:rFonts w:ascii="宋体" w:eastAsia="仿宋_GB2312" w:cs="宋体" w:hAnsi="宋体"/>
          <w:kern w:val="0"/>
          <w:sz w:val="32"/>
          <w:szCs w:val="32"/>
        </w:rPr>
      </w:pPr>
      <w:bookmarkStart w:id="5" w:name="_Toc67532133"/>
      <w:r>
        <w:rPr>
          <w:rStyle w:val="22Char"/>
          <w:rFonts w:ascii="宋体" w:eastAsia="楷体_GB2312" w:hAnsi="宋体" w:hint="eastAsia"/>
          <w:b w:val="0"/>
        </w:rPr>
        <w:t>（三）指导思想</w:t>
      </w:r>
      <w:bookmarkEnd w:id="5"/>
      <w:r>
        <w:rPr>
          <w:rStyle w:val="22Char"/>
          <w:rFonts w:ascii="宋体" w:eastAsia="楷体_GB2312" w:hAnsi="宋体" w:hint="eastAsia"/>
          <w:b w:val="0"/>
        </w:rPr>
        <w:t>。</w:t>
      </w:r>
      <w:r>
        <w:rPr>
          <w:rFonts w:ascii="宋体" w:eastAsia="仿宋_GB2312" w:cs="宋体" w:hAnsi="宋体" w:hint="eastAsia"/>
          <w:kern w:val="0"/>
          <w:sz w:val="32"/>
          <w:szCs w:val="32"/>
        </w:rPr>
        <w:t>坚持以习近平新时代中国特色社会主义思想为指导，立足新发展阶段，贯彻新发展理念，构建新发展格局，围绕海南自由贸易港建设，用足用好党中央、国务院赋予海南自由贸易港建设的改革开放政策，在对标国际上先行一步，在深化市场监管改革上先行一步，把制度集成创新摆在突出位置，把系统观念贯穿市场监管实践，培育市场主体，提高市场主体质量，建设高标准市场体系，构建现代化市场监管制度，建设国内领先、国际一流的营商环境。</w:t>
      </w:r>
    </w:p>
    <w:p>
      <w:pPr>
        <w:spacing w:line="579" w:lineRule="exact"/>
        <w:ind w:firstLine="645"/>
        <w:textAlignment w:val="baseline"/>
        <w:rPr>
          <w:rFonts w:ascii="宋体" w:eastAsia="楷体_GB2312" w:cs="宋体" w:hAnsi="宋体"/>
          <w:kern w:val="0"/>
          <w:sz w:val="32"/>
          <w:szCs w:val="32"/>
        </w:rPr>
      </w:pPr>
      <w:bookmarkStart w:id="6" w:name="_Toc67532134"/>
      <w:r>
        <w:rPr>
          <w:rStyle w:val="22Char"/>
          <w:rFonts w:ascii="宋体" w:eastAsia="楷体_GB2312" w:hAnsi="宋体" w:hint="eastAsia"/>
          <w:b w:val="0"/>
        </w:rPr>
        <w:t>（四）基本原则</w:t>
      </w:r>
      <w:bookmarkEnd w:id="6"/>
      <w:r>
        <w:rPr>
          <w:rStyle w:val="22Char"/>
          <w:rFonts w:ascii="宋体" w:eastAsia="楷体_GB2312" w:hAnsi="宋体" w:hint="eastAsia"/>
          <w:b w:val="0"/>
        </w:rPr>
        <w:t>。</w:t>
      </w:r>
    </w:p>
    <w:p>
      <w:pPr>
        <w:spacing w:line="579" w:lineRule="exact"/>
        <w:ind w:firstLineChars="200" w:firstLine="640"/>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坚持人民至上。坚持把维护广大人民群众的切身利益作为市场监管的出发点和落脚点，在法规规章制定、监管制度设计上体现人民利益至上，在监管执法的内容上重点打击侵害人民群众利益的违法行为，在监管效果的评价上以人民群众满不满意为标准，不断满足人民群众对美好生活的需要。</w:t>
      </w:r>
    </w:p>
    <w:p>
      <w:pPr>
        <w:spacing w:line="579" w:lineRule="exact"/>
        <w:ind w:firstLineChars="200" w:firstLine="640"/>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坚持放管结合。以准入又准营为“牛鼻子”深化改革。把放权于市场、社会、企业做实做细，大幅减少不必要的监管执法事项，为监管减负，为企业减负。尊重市场主体的法律地位，推进市场监管领域“双随机、一公开”，减少对企业自治行为、自律行为、能够独立承担法律责任、不危害社会安全和公共利益等行为的监管。加强重点监管，提高监管效能。增强服务意识和水平，在监管中体现服务，在服务中实施监管。</w:t>
      </w:r>
    </w:p>
    <w:p>
      <w:pPr>
        <w:spacing w:line="579" w:lineRule="exact"/>
        <w:ind w:firstLineChars="200" w:firstLine="640"/>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坚持集成创新。在顶层设计上推进创新，防止碎片化创新和矛盾式创新，真正使改革创新创在规律上、新在实效上，创在点面上、新在集成中。对标对表国际规则，加强与国际规则的接轨与融合。增强资质监管与行为监管的关联性，畅通计量、标准、检验检测、认证认可等内在联系，强化标准与法律法规政策的协调性、协同性和配套性，形成市场监管制度闭环。</w:t>
      </w:r>
    </w:p>
    <w:p>
      <w:pPr>
        <w:spacing w:line="579" w:lineRule="exact"/>
        <w:ind w:firstLineChars="200" w:firstLine="640"/>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坚持系统观念。统筹产品和服务、线上和线下、国内市场和国际市场，统筹上中下产业链，综合运用经济、标准、技术、信用、行政、法律等手段，发挥政府、社会组织、企业和个体各自职能，强化部门协同监管，多措并举、综合施策，用好政策“工具箱”，打好服务“组合拳”，形成系统监管、共治共管格局。</w:t>
      </w:r>
    </w:p>
    <w:p>
      <w:pPr>
        <w:spacing w:line="579" w:lineRule="exact"/>
        <w:ind w:firstLine="645"/>
        <w:textAlignment w:val="baseline"/>
        <w:rPr>
          <w:rFonts w:ascii="宋体" w:eastAsia="楷体_GB2312" w:cs="宋体" w:hAnsi="宋体"/>
          <w:kern w:val="0"/>
          <w:sz w:val="32"/>
          <w:szCs w:val="32"/>
        </w:rPr>
      </w:pPr>
      <w:bookmarkStart w:id="7" w:name="_Toc67532135"/>
      <w:r>
        <w:rPr>
          <w:rStyle w:val="22Char"/>
          <w:rFonts w:ascii="宋体" w:eastAsia="楷体_GB2312" w:hAnsi="宋体" w:hint="eastAsia"/>
          <w:b w:val="0"/>
        </w:rPr>
        <w:t>（五）总体目标</w:t>
      </w:r>
      <w:bookmarkEnd w:id="7"/>
      <w:r>
        <w:rPr>
          <w:rStyle w:val="22Char"/>
          <w:rFonts w:ascii="宋体" w:eastAsia="楷体_GB2312" w:hAnsi="宋体" w:hint="eastAsia"/>
          <w:b w:val="0"/>
        </w:rPr>
        <w:t>。</w:t>
      </w:r>
    </w:p>
    <w:p>
      <w:pPr>
        <w:spacing w:line="579" w:lineRule="exact"/>
        <w:ind w:firstLine="645"/>
        <w:textAlignment w:val="baseline"/>
        <w:rPr>
          <w:rFonts w:ascii="宋体" w:eastAsia="仿宋_GB2312" w:cs="宋体" w:hAnsi="宋体"/>
          <w:kern w:val="0"/>
          <w:sz w:val="32"/>
          <w:szCs w:val="32"/>
        </w:rPr>
      </w:pPr>
      <w:r>
        <w:rPr>
          <w:rFonts w:ascii="宋体" w:eastAsia="仿宋_GB2312" w:cs="宋体" w:hAnsi="宋体" w:hint="eastAsia"/>
          <w:kern w:val="0"/>
          <w:sz w:val="32"/>
          <w:szCs w:val="32"/>
        </w:rPr>
        <w:t>到2025年，基本建立符合海南自由贸易港发展要求的高标准市场体系，实现海南自由贸易港市场监管能力现代化。</w:t>
      </w:r>
    </w:p>
    <w:p>
      <w:pPr>
        <w:overflowPunct w:val="0"/>
        <w:spacing w:line="579" w:lineRule="exact"/>
        <w:ind w:firstLine="646"/>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市场高标准开放。外商投资准入前国民待遇和负面清单管理全面实施，外商投资企业参与标准制定等通畅无阻，制度型开放迈上新台阶，主要监管规则与国际规则基本接轨，让海南的市场成为世界的市场、共享的市场。</w:t>
      </w:r>
    </w:p>
    <w:p>
      <w:pPr>
        <w:overflowPunct w:val="0"/>
        <w:spacing w:line="579" w:lineRule="exact"/>
        <w:ind w:firstLine="646"/>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市场体系基础制度高标准完善。建成适应海南自由贸易港发展的知识产权创新发展体系，知识产权对产业发展的作用充分体现。公平竞争更加有效，公平统一、开放透明的市场准入规则基本形成，贸易和投资自由化便利化准入机制基本建立。</w:t>
      </w:r>
    </w:p>
    <w:p>
      <w:pPr>
        <w:overflowPunct w:val="0"/>
        <w:spacing w:line="579" w:lineRule="exact"/>
        <w:ind w:firstLine="646"/>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spacing w:val="-4"/>
          <w:kern w:val="0"/>
          <w:sz w:val="32"/>
          <w:szCs w:val="32"/>
        </w:rPr>
        <w:t>市场环境和质量高标准优化。产品和服务质量全面提升，高频事项实现无人干预自动审批。安全监管现代化基础性制度更加完善、更加高效，不发生食品药品安全、特种设备安全和工业产品质量安全系统性事故。消费者权益保护及时性、便捷性显著增强，消费者权益受侵害后的维权难度和维权成本大幅降低。市场主体生产经营的法治环境更加优化，守法经营、诚信经营普遍形成。市场主体持续增长、活跃发展，市场主体生命周期延长。</w:t>
      </w:r>
    </w:p>
    <w:p>
      <w:pPr>
        <w:overflowPunct w:val="0"/>
        <w:spacing w:line="579" w:lineRule="exact"/>
        <w:ind w:firstLine="646"/>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市场基础设施高标准提升。计量、标准、检验检测、认证认可等基础设施建设高效运行，技术水平和服务能力进一步提升。市场基础设施建设互联互通，重点实验室建设得到强化。</w:t>
      </w:r>
    </w:p>
    <w:p>
      <w:pPr>
        <w:overflowPunct w:val="0"/>
        <w:spacing w:line="579" w:lineRule="exact"/>
        <w:ind w:firstLine="646"/>
        <w:textAlignment w:val="baseline"/>
        <w:rPr>
          <w:rFonts w:ascii="宋体" w:eastAsia="仿宋_GB2312" w:cs="宋体" w:hAnsi="宋体"/>
          <w:kern w:val="0"/>
          <w:sz w:val="32"/>
          <w:szCs w:val="32"/>
        </w:rPr>
      </w:pPr>
      <w:r>
        <w:rPr>
          <w:rFonts w:ascii="宋体" w:cs="宋体" w:hint="eastAsia"/>
          <w:kern w:val="0"/>
          <w:sz w:val="32"/>
          <w:szCs w:val="32"/>
        </w:rPr>
        <w:t>——</w:t>
      </w:r>
      <w:r>
        <w:rPr>
          <w:rFonts w:ascii="宋体" w:eastAsia="仿宋_GB2312" w:cs="宋体" w:hAnsi="宋体" w:hint="eastAsia"/>
          <w:kern w:val="0"/>
          <w:sz w:val="32"/>
          <w:szCs w:val="32"/>
        </w:rPr>
        <w:t>现代市场监管机制高标准建立。统一规范、权责明确、公正高效、法治保障的市场监管体系基本形成，职业化的高素质市场监管队伍基本建成，覆盖全域的智慧市场监管平台基本建立，多方共管的社会共治市场监管格局基本形成，市场综合监管能力大幅提升，市场监管的科学性和有效性大幅提升。</w:t>
      </w:r>
    </w:p>
    <w:p>
      <w:pPr>
        <w:shd w:val="solid" w:color="FFFFFF" w:fill="auto"/>
        <w:snapToGrid w:val="0"/>
        <w:spacing w:line="579" w:lineRule="exact"/>
        <w:ind w:firstLineChars="200" w:firstLine="640"/>
        <w:textAlignment w:val="baseline"/>
        <w:rPr>
          <w:rStyle w:val="22Char"/>
          <w:rFonts w:ascii="宋体" w:eastAsia="楷体_GB2312" w:hAnsi="宋体"/>
          <w:b w:val="0"/>
        </w:rPr>
      </w:pPr>
      <w:bookmarkStart w:id="8" w:name="_Toc67532136"/>
      <w:r>
        <w:rPr>
          <w:rStyle w:val="22Char"/>
          <w:rFonts w:ascii="宋体" w:eastAsia="楷体_GB2312" w:hAnsi="宋体" w:hint="eastAsia"/>
          <w:b w:val="0"/>
        </w:rPr>
        <w:t>（六）“十四五”期间市场监管具体指标</w:t>
      </w:r>
      <w:bookmarkEnd w:id="8"/>
      <w:r>
        <w:rPr>
          <w:rStyle w:val="22Char"/>
          <w:rFonts w:ascii="宋体" w:eastAsia="楷体_GB2312" w:hAnsi="宋体" w:hint="eastAsia"/>
          <w:b w:val="0"/>
        </w:rPr>
        <w:t>。</w:t>
      </w:r>
    </w:p>
    <w:p>
      <w:pPr>
        <w:shd w:val="solid" w:color="FFFFFF" w:fill="auto"/>
        <w:snapToGrid w:val="0"/>
        <w:spacing w:line="400" w:lineRule="exact"/>
        <w:ind w:firstLineChars="200" w:firstLine="640"/>
        <w:textAlignment w:val="baseline"/>
        <w:rPr>
          <w:rStyle w:val="22Char"/>
          <w:rFonts w:ascii="宋体" w:eastAsia="楷体_GB2312" w:hAnsi="宋体"/>
          <w:b w:val="0"/>
        </w:rPr>
      </w:pPr>
    </w:p>
    <w:tbl>
      <w:tblPr>
        <w:jc w:val="cente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5"/>
        <w:gridCol w:w="4619"/>
        <w:gridCol w:w="1334"/>
        <w:gridCol w:w="1286"/>
        <w:gridCol w:w="1055"/>
      </w:tblGrid>
      <w:tr>
        <w:trPr>
          <w:trHeight w:val="22"/>
        </w:trPr>
        <w:tc>
          <w:tcPr>
            <w:tcW w:w="705" w:type="dxa"/>
            <w:vAlign w:val="center"/>
          </w:tcPr>
          <w:p>
            <w:pPr>
              <w:spacing w:line="300" w:lineRule="exact"/>
              <w:jc w:val="center"/>
              <w:textAlignment w:val="baseline"/>
              <w:rPr>
                <w:rFonts w:ascii="宋体" w:eastAsia="黑体" w:cs="宋体" w:hAnsi="宋体"/>
                <w:kern w:val="0"/>
                <w:sz w:val="24"/>
                <w:szCs w:val="24"/>
              </w:rPr>
            </w:pPr>
            <w:r>
              <w:rPr>
                <w:rFonts w:ascii="宋体" w:eastAsia="黑体" w:cs="宋体" w:hAnsi="宋体" w:hint="eastAsia"/>
                <w:kern w:val="0"/>
                <w:sz w:val="24"/>
                <w:szCs w:val="24"/>
              </w:rPr>
              <w:t>序号</w:t>
            </w:r>
          </w:p>
        </w:tc>
        <w:tc>
          <w:tcPr>
            <w:tcW w:w="4619" w:type="dxa"/>
            <w:vAlign w:val="center"/>
          </w:tcPr>
          <w:p>
            <w:pPr>
              <w:spacing w:line="300" w:lineRule="exact"/>
              <w:jc w:val="center"/>
              <w:textAlignment w:val="baseline"/>
              <w:rPr>
                <w:rFonts w:ascii="宋体" w:eastAsia="黑体" w:cs="宋体" w:hAnsi="宋体"/>
                <w:kern w:val="0"/>
                <w:sz w:val="24"/>
                <w:szCs w:val="24"/>
              </w:rPr>
            </w:pPr>
            <w:r>
              <w:rPr>
                <w:rFonts w:ascii="宋体" w:eastAsia="黑体" w:cs="宋体" w:hAnsi="宋体" w:hint="eastAsia"/>
                <w:kern w:val="0"/>
                <w:sz w:val="24"/>
                <w:szCs w:val="24"/>
              </w:rPr>
              <w:t>指标名称</w:t>
            </w:r>
          </w:p>
        </w:tc>
        <w:tc>
          <w:tcPr>
            <w:tcW w:w="1334" w:type="dxa"/>
            <w:vAlign w:val="center"/>
          </w:tcPr>
          <w:p>
            <w:pPr>
              <w:spacing w:line="300" w:lineRule="exact"/>
              <w:jc w:val="center"/>
              <w:textAlignment w:val="baseline"/>
              <w:rPr>
                <w:rFonts w:ascii="宋体" w:eastAsia="黑体" w:cs="宋体" w:hAnsi="宋体"/>
                <w:kern w:val="0"/>
                <w:sz w:val="24"/>
                <w:szCs w:val="24"/>
              </w:rPr>
            </w:pPr>
            <w:r>
              <w:rPr>
                <w:rFonts w:ascii="宋体" w:eastAsia="黑体" w:cs="宋体" w:hAnsi="宋体"/>
                <w:kern w:val="0"/>
                <w:sz w:val="24"/>
                <w:szCs w:val="24"/>
              </w:rPr>
              <w:t>2020</w:t>
            </w:r>
            <w:r>
              <w:rPr>
                <w:rFonts w:ascii="宋体" w:eastAsia="黑体" w:cs="宋体" w:hAnsi="宋体" w:hint="eastAsia"/>
                <w:kern w:val="0"/>
                <w:sz w:val="24"/>
                <w:szCs w:val="24"/>
              </w:rPr>
              <w:t>年</w:t>
            </w:r>
          </w:p>
          <w:p>
            <w:pPr>
              <w:spacing w:line="300" w:lineRule="exact"/>
              <w:jc w:val="center"/>
              <w:textAlignment w:val="baseline"/>
              <w:rPr>
                <w:rFonts w:ascii="宋体" w:eastAsia="黑体" w:cs="宋体" w:hAnsi="宋体"/>
                <w:kern w:val="0"/>
                <w:sz w:val="24"/>
                <w:szCs w:val="24"/>
              </w:rPr>
            </w:pPr>
            <w:r>
              <w:rPr>
                <w:rFonts w:ascii="宋体" w:eastAsia="黑体" w:cs="宋体" w:hAnsi="宋体" w:hint="eastAsia"/>
                <w:kern w:val="0"/>
                <w:sz w:val="24"/>
                <w:szCs w:val="24"/>
              </w:rPr>
              <w:t>实现数</w:t>
            </w:r>
          </w:p>
        </w:tc>
        <w:tc>
          <w:tcPr>
            <w:tcW w:w="1286" w:type="dxa"/>
            <w:vAlign w:val="center"/>
          </w:tcPr>
          <w:p>
            <w:pPr>
              <w:spacing w:line="300" w:lineRule="exact"/>
              <w:jc w:val="center"/>
              <w:textAlignment w:val="baseline"/>
              <w:rPr>
                <w:rFonts w:ascii="宋体" w:eastAsia="黑体" w:cs="宋体" w:hAnsi="宋体"/>
                <w:kern w:val="0"/>
                <w:sz w:val="24"/>
                <w:szCs w:val="24"/>
              </w:rPr>
            </w:pPr>
            <w:r>
              <w:rPr>
                <w:rFonts w:ascii="宋体" w:eastAsia="黑体" w:cs="宋体" w:hAnsi="宋体"/>
                <w:kern w:val="0"/>
                <w:sz w:val="24"/>
                <w:szCs w:val="24"/>
              </w:rPr>
              <w:t>2025</w:t>
            </w:r>
            <w:r>
              <w:rPr>
                <w:rFonts w:ascii="宋体" w:eastAsia="黑体" w:cs="宋体" w:hAnsi="宋体" w:hint="eastAsia"/>
                <w:kern w:val="0"/>
                <w:sz w:val="24"/>
                <w:szCs w:val="24"/>
              </w:rPr>
              <w:t>年</w:t>
            </w:r>
          </w:p>
          <w:p>
            <w:pPr>
              <w:spacing w:line="300" w:lineRule="exact"/>
              <w:jc w:val="center"/>
              <w:textAlignment w:val="baseline"/>
              <w:rPr>
                <w:rFonts w:ascii="宋体" w:eastAsia="黑体" w:cs="宋体" w:hAnsi="宋体"/>
                <w:kern w:val="0"/>
                <w:sz w:val="24"/>
                <w:szCs w:val="24"/>
              </w:rPr>
            </w:pPr>
            <w:r>
              <w:rPr>
                <w:rFonts w:ascii="宋体" w:eastAsia="黑体" w:cs="宋体" w:hAnsi="宋体" w:hint="eastAsia"/>
                <w:kern w:val="0"/>
                <w:sz w:val="24"/>
                <w:szCs w:val="24"/>
              </w:rPr>
              <w:t>目标数</w:t>
            </w:r>
          </w:p>
        </w:tc>
        <w:tc>
          <w:tcPr>
            <w:tcW w:w="1055" w:type="dxa"/>
            <w:vAlign w:val="center"/>
          </w:tcPr>
          <w:p>
            <w:pPr>
              <w:spacing w:line="300" w:lineRule="exact"/>
              <w:jc w:val="center"/>
              <w:textAlignment w:val="baseline"/>
              <w:rPr>
                <w:rFonts w:ascii="宋体" w:eastAsia="黑体" w:cs="宋体" w:hAnsi="宋体"/>
                <w:kern w:val="0"/>
                <w:sz w:val="24"/>
                <w:szCs w:val="24"/>
              </w:rPr>
            </w:pPr>
            <w:r>
              <w:rPr>
                <w:rFonts w:ascii="宋体" w:eastAsia="黑体" w:cs="宋体" w:hAnsi="宋体" w:hint="eastAsia"/>
                <w:kern w:val="0"/>
                <w:sz w:val="24"/>
                <w:szCs w:val="24"/>
              </w:rPr>
              <w:t>属性</w:t>
            </w:r>
          </w:p>
        </w:tc>
      </w:tr>
      <w:tr>
        <w:trPr>
          <w:trHeight w:hRule="exact" w:val="488"/>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w:t>
            </w:r>
          </w:p>
        </w:tc>
        <w:tc>
          <w:tcPr>
            <w:tcW w:w="4619" w:type="dxa"/>
            <w:vAlign w:val="center"/>
          </w:tcPr>
          <w:p>
            <w:pPr>
              <w:spacing w:line="400" w:lineRule="exact"/>
              <w:jc w:val="left"/>
              <w:textAlignment w:val="baseline"/>
              <w:rPr>
                <w:rFonts w:ascii="宋体" w:eastAsia="仿宋_GB2312" w:cs="宋体" w:hAnsi="宋体"/>
                <w:kern w:val="0"/>
                <w:sz w:val="24"/>
                <w:szCs w:val="24"/>
              </w:rPr>
            </w:pPr>
            <w:r>
              <w:rPr>
                <w:rFonts w:ascii="宋体" w:eastAsia="仿宋_GB2312" w:cs="宋体" w:hAnsi="宋体" w:hint="eastAsia"/>
                <w:kern w:val="0"/>
                <w:sz w:val="24"/>
                <w:szCs w:val="24"/>
              </w:rPr>
              <w:t>全省市场主体数</w:t>
            </w:r>
          </w:p>
        </w:tc>
        <w:tc>
          <w:tcPr>
            <w:tcW w:w="1334"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119</w:t>
            </w:r>
            <w:r>
              <w:rPr>
                <w:rFonts w:ascii="宋体" w:eastAsia="仿宋_GB2312" w:cs="宋体" w:hAnsi="宋体" w:hint="eastAsia"/>
                <w:kern w:val="0"/>
                <w:sz w:val="24"/>
                <w:szCs w:val="24"/>
              </w:rPr>
              <w:t>万户</w:t>
            </w:r>
          </w:p>
        </w:tc>
        <w:tc>
          <w:tcPr>
            <w:tcW w:w="1286"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320</w:t>
            </w:r>
            <w:r>
              <w:rPr>
                <w:rFonts w:ascii="宋体" w:eastAsia="仿宋_GB2312" w:cs="宋体" w:hAnsi="宋体" w:hint="eastAsia"/>
                <w:kern w:val="0"/>
                <w:sz w:val="24"/>
                <w:szCs w:val="24"/>
              </w:rPr>
              <w:t>万户</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488"/>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2</w:t>
            </w:r>
          </w:p>
        </w:tc>
        <w:tc>
          <w:tcPr>
            <w:tcW w:w="4619" w:type="dxa"/>
            <w:vAlign w:val="center"/>
          </w:tcPr>
          <w:p>
            <w:pPr>
              <w:spacing w:line="400" w:lineRule="exact"/>
              <w:jc w:val="left"/>
              <w:textAlignment w:val="baseline"/>
              <w:rPr>
                <w:rFonts w:ascii="宋体" w:eastAsia="仿宋_GB2312" w:cs="宋体" w:hAnsi="宋体"/>
                <w:kern w:val="0"/>
                <w:sz w:val="24"/>
                <w:szCs w:val="24"/>
              </w:rPr>
            </w:pPr>
            <w:r>
              <w:rPr>
                <w:rFonts w:ascii="宋体" w:eastAsia="仿宋_GB2312" w:cs="宋体" w:hAnsi="宋体" w:hint="eastAsia"/>
                <w:kern w:val="0"/>
                <w:sz w:val="24"/>
                <w:szCs w:val="24"/>
              </w:rPr>
              <w:t>制造业产品质量统计调查合格率</w:t>
            </w:r>
          </w:p>
        </w:tc>
        <w:tc>
          <w:tcPr>
            <w:tcW w:w="1334"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95.2%</w:t>
            </w:r>
          </w:p>
        </w:tc>
        <w:tc>
          <w:tcPr>
            <w:tcW w:w="1286"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97%</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488"/>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3</w:t>
            </w:r>
          </w:p>
        </w:tc>
        <w:tc>
          <w:tcPr>
            <w:tcW w:w="4619" w:type="dxa"/>
            <w:vAlign w:val="center"/>
          </w:tcPr>
          <w:p>
            <w:pPr>
              <w:spacing w:line="400" w:lineRule="exact"/>
              <w:jc w:val="left"/>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食品安全评价性抽检合格率</w:t>
            </w:r>
          </w:p>
        </w:tc>
        <w:tc>
          <w:tcPr>
            <w:tcW w:w="1334"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98%</w:t>
            </w:r>
          </w:p>
        </w:tc>
        <w:tc>
          <w:tcPr>
            <w:tcW w:w="1286"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98.5%</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488"/>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4</w:t>
            </w:r>
          </w:p>
        </w:tc>
        <w:tc>
          <w:tcPr>
            <w:tcW w:w="4619" w:type="dxa"/>
            <w:vAlign w:val="center"/>
          </w:tcPr>
          <w:p>
            <w:pPr>
              <w:snapToGrid w:val="0"/>
              <w:spacing w:line="400" w:lineRule="exact"/>
              <w:jc w:val="left"/>
              <w:textAlignment w:val="baseline"/>
              <w:rPr>
                <w:rFonts w:ascii="宋体" w:eastAsia="仿宋_GB2312" w:cs="宋体" w:hAnsi="宋体"/>
                <w:kern w:val="0"/>
                <w:sz w:val="24"/>
                <w:szCs w:val="24"/>
              </w:rPr>
            </w:pPr>
            <w:r>
              <w:rPr>
                <w:rFonts w:ascii="宋体" w:eastAsia="仿宋_GB2312" w:cs="宋体" w:hAnsi="宋体"/>
                <w:kern w:val="0"/>
                <w:sz w:val="24"/>
                <w:szCs w:val="24"/>
              </w:rPr>
              <w:t>药品、医疗器械及化妆品抽检合格率</w:t>
            </w:r>
          </w:p>
        </w:tc>
        <w:tc>
          <w:tcPr>
            <w:tcW w:w="1334" w:type="dxa"/>
            <w:vAlign w:val="center"/>
          </w:tcPr>
          <w:p>
            <w:pPr>
              <w:pStyle w:val="35"/>
              <w:widowControl w:val="0"/>
              <w:snapToGrid w:val="0"/>
              <w:spacing w:line="400" w:lineRule="exact"/>
              <w:jc w:val="center"/>
              <w:textAlignment w:val="baseline"/>
              <w:rPr>
                <w:rFonts w:ascii="宋体" w:eastAsia="仿宋_GB2312" w:hAnsi="宋体"/>
                <w:sz w:val="24"/>
                <w:szCs w:val="24"/>
              </w:rPr>
            </w:pPr>
            <w:r>
              <w:rPr>
                <w:rFonts w:ascii="宋体" w:eastAsia="仿宋_GB2312" w:hAnsi="宋体" w:hint="eastAsia"/>
                <w:sz w:val="24"/>
                <w:szCs w:val="24"/>
              </w:rPr>
              <w:t>—</w:t>
            </w:r>
          </w:p>
        </w:tc>
        <w:tc>
          <w:tcPr>
            <w:tcW w:w="1286" w:type="dxa"/>
            <w:vAlign w:val="center"/>
          </w:tcPr>
          <w:p>
            <w:pPr>
              <w:pStyle w:val="35"/>
              <w:widowControl w:val="0"/>
              <w:snapToGrid w:val="0"/>
              <w:spacing w:line="400" w:lineRule="exact"/>
              <w:jc w:val="center"/>
              <w:textAlignment w:val="baseline"/>
              <w:rPr>
                <w:rFonts w:ascii="宋体" w:eastAsia="仿宋_GB2312" w:hAnsi="宋体"/>
                <w:sz w:val="24"/>
                <w:szCs w:val="24"/>
              </w:rPr>
            </w:pPr>
            <w:r>
              <w:rPr>
                <w:rFonts w:ascii="宋体" w:eastAsia="仿宋_GB2312" w:hAnsi="宋体"/>
                <w:sz w:val="24"/>
                <w:szCs w:val="24"/>
              </w:rPr>
              <w:t>98%</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488"/>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5</w:t>
            </w:r>
          </w:p>
        </w:tc>
        <w:tc>
          <w:tcPr>
            <w:tcW w:w="4619" w:type="dxa"/>
            <w:vAlign w:val="center"/>
          </w:tcPr>
          <w:p>
            <w:pPr>
              <w:snapToGrid w:val="0"/>
              <w:spacing w:line="400" w:lineRule="exact"/>
              <w:jc w:val="left"/>
              <w:textAlignment w:val="baseline"/>
              <w:rPr>
                <w:rFonts w:ascii="宋体" w:eastAsia="仿宋_GB2312" w:cs="宋体" w:hAnsi="宋体"/>
                <w:kern w:val="0"/>
                <w:sz w:val="24"/>
                <w:szCs w:val="24"/>
              </w:rPr>
            </w:pPr>
            <w:r>
              <w:rPr>
                <w:rFonts w:ascii="宋体" w:eastAsia="仿宋_GB2312" w:cs="宋体" w:hAnsi="宋体"/>
                <w:kern w:val="0"/>
                <w:sz w:val="24"/>
                <w:szCs w:val="24"/>
              </w:rPr>
              <w:t>药品定期安全性更新报告评价率</w:t>
            </w:r>
          </w:p>
        </w:tc>
        <w:tc>
          <w:tcPr>
            <w:tcW w:w="1334" w:type="dxa"/>
            <w:vAlign w:val="center"/>
          </w:tcPr>
          <w:p>
            <w:pPr>
              <w:snapToGrid w:val="0"/>
              <w:spacing w:line="400" w:lineRule="exact"/>
              <w:jc w:val="center"/>
              <w:textAlignment w:val="baseline"/>
              <w:rPr>
                <w:rFonts w:ascii="宋体" w:eastAsia="仿宋_GB2312" w:cs="宋体" w:hAnsi="宋体"/>
                <w:kern w:val="0"/>
                <w:sz w:val="24"/>
                <w:szCs w:val="24"/>
              </w:rPr>
            </w:pPr>
            <w:r>
              <w:rPr>
                <w:rFonts w:ascii="宋体" w:eastAsia="仿宋_GB2312" w:hAnsi="宋体" w:hint="eastAsia"/>
                <w:sz w:val="24"/>
                <w:szCs w:val="24"/>
              </w:rPr>
              <w:t>—</w:t>
            </w:r>
          </w:p>
        </w:tc>
        <w:tc>
          <w:tcPr>
            <w:tcW w:w="1286" w:type="dxa"/>
            <w:vAlign w:val="center"/>
          </w:tcPr>
          <w:p>
            <w:pPr>
              <w:snapToGrid w:val="0"/>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100%</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855"/>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6</w:t>
            </w:r>
          </w:p>
        </w:tc>
        <w:tc>
          <w:tcPr>
            <w:tcW w:w="4619" w:type="dxa"/>
            <w:vAlign w:val="center"/>
          </w:tcPr>
          <w:p>
            <w:pPr>
              <w:snapToGrid w:val="0"/>
              <w:spacing w:line="400" w:lineRule="exact"/>
              <w:jc w:val="left"/>
              <w:textAlignment w:val="baseline"/>
              <w:rPr>
                <w:rFonts w:ascii="宋体" w:eastAsia="仿宋_GB2312" w:cs="宋体" w:hAnsi="宋体"/>
                <w:kern w:val="0"/>
                <w:sz w:val="24"/>
                <w:szCs w:val="24"/>
              </w:rPr>
            </w:pPr>
            <w:r>
              <w:rPr>
                <w:rFonts w:ascii="宋体" w:eastAsia="仿宋_GB2312" w:cs="宋体" w:hAnsi="宋体"/>
                <w:kern w:val="0"/>
                <w:sz w:val="24"/>
                <w:szCs w:val="24"/>
              </w:rPr>
              <w:t>药品不良反应报告数</w:t>
            </w:r>
          </w:p>
        </w:tc>
        <w:tc>
          <w:tcPr>
            <w:tcW w:w="1334" w:type="dxa"/>
            <w:vAlign w:val="center"/>
          </w:tcPr>
          <w:p>
            <w:pPr>
              <w:snapToGrid w:val="0"/>
              <w:spacing w:line="400" w:lineRule="exact"/>
              <w:jc w:val="center"/>
              <w:textAlignment w:val="baseline"/>
              <w:rPr>
                <w:rFonts w:ascii="宋体" w:eastAsia="仿宋_GB2312" w:cs="宋体" w:hAnsi="宋体"/>
                <w:kern w:val="0"/>
                <w:sz w:val="24"/>
                <w:szCs w:val="24"/>
              </w:rPr>
            </w:pPr>
            <w:r>
              <w:rPr>
                <w:rFonts w:ascii="宋体" w:eastAsia="仿宋_GB2312" w:hAnsi="宋体" w:hint="eastAsia"/>
                <w:sz w:val="24"/>
                <w:szCs w:val="24"/>
              </w:rPr>
              <w:t>—</w:t>
            </w:r>
          </w:p>
        </w:tc>
        <w:tc>
          <w:tcPr>
            <w:tcW w:w="1286" w:type="dxa"/>
            <w:vAlign w:val="center"/>
          </w:tcPr>
          <w:p>
            <w:pPr>
              <w:snapToGrid w:val="0"/>
              <w:spacing w:line="3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600份/百万人以上</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703"/>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7</w:t>
            </w:r>
          </w:p>
        </w:tc>
        <w:tc>
          <w:tcPr>
            <w:tcW w:w="4619" w:type="dxa"/>
            <w:vAlign w:val="center"/>
          </w:tcPr>
          <w:p>
            <w:pPr>
              <w:snapToGrid w:val="0"/>
              <w:spacing w:line="400" w:lineRule="exact"/>
              <w:jc w:val="left"/>
              <w:textAlignment w:val="baseline"/>
              <w:rPr>
                <w:rFonts w:ascii="宋体" w:eastAsia="仿宋_GB2312" w:cs="宋体" w:hAnsi="宋体"/>
                <w:kern w:val="0"/>
                <w:sz w:val="24"/>
                <w:szCs w:val="24"/>
              </w:rPr>
            </w:pPr>
            <w:r>
              <w:rPr>
                <w:rFonts w:ascii="宋体" w:eastAsia="仿宋_GB2312" w:cs="宋体" w:hAnsi="宋体"/>
                <w:kern w:val="0"/>
                <w:sz w:val="24"/>
                <w:szCs w:val="24"/>
              </w:rPr>
              <w:t>医疗器械不良事件报告数</w:t>
            </w:r>
          </w:p>
        </w:tc>
        <w:tc>
          <w:tcPr>
            <w:tcW w:w="1334" w:type="dxa"/>
            <w:vAlign w:val="center"/>
          </w:tcPr>
          <w:p>
            <w:pPr>
              <w:snapToGrid w:val="0"/>
              <w:spacing w:line="400" w:lineRule="exact"/>
              <w:jc w:val="center"/>
              <w:textAlignment w:val="baseline"/>
              <w:rPr>
                <w:rFonts w:ascii="宋体" w:eastAsia="仿宋_GB2312" w:cs="宋体" w:hAnsi="宋体"/>
                <w:kern w:val="0"/>
                <w:sz w:val="24"/>
                <w:szCs w:val="24"/>
              </w:rPr>
            </w:pPr>
            <w:r>
              <w:rPr>
                <w:rFonts w:ascii="宋体" w:eastAsia="仿宋_GB2312" w:hAnsi="宋体" w:hint="eastAsia"/>
                <w:sz w:val="24"/>
                <w:szCs w:val="24"/>
              </w:rPr>
              <w:t>—</w:t>
            </w:r>
          </w:p>
        </w:tc>
        <w:tc>
          <w:tcPr>
            <w:tcW w:w="1286" w:type="dxa"/>
            <w:vAlign w:val="center"/>
          </w:tcPr>
          <w:p>
            <w:pPr>
              <w:snapToGrid w:val="0"/>
              <w:spacing w:line="3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250份/百万人以上</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687"/>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8</w:t>
            </w:r>
          </w:p>
        </w:tc>
        <w:tc>
          <w:tcPr>
            <w:tcW w:w="4619" w:type="dxa"/>
            <w:vAlign w:val="center"/>
          </w:tcPr>
          <w:p>
            <w:pPr>
              <w:snapToGrid w:val="0"/>
              <w:spacing w:line="400" w:lineRule="exact"/>
              <w:jc w:val="left"/>
              <w:textAlignment w:val="baseline"/>
              <w:rPr>
                <w:rFonts w:ascii="宋体" w:eastAsia="仿宋_GB2312" w:cs="宋体" w:hAnsi="宋体"/>
                <w:kern w:val="0"/>
                <w:sz w:val="24"/>
                <w:szCs w:val="24"/>
              </w:rPr>
            </w:pPr>
            <w:r>
              <w:rPr>
                <w:rFonts w:ascii="宋体" w:eastAsia="仿宋_GB2312" w:cs="宋体" w:hAnsi="宋体"/>
                <w:kern w:val="0"/>
                <w:sz w:val="24"/>
                <w:szCs w:val="24"/>
              </w:rPr>
              <w:t>化妆品不良反应报告数</w:t>
            </w:r>
          </w:p>
        </w:tc>
        <w:tc>
          <w:tcPr>
            <w:tcW w:w="1334" w:type="dxa"/>
            <w:vAlign w:val="center"/>
          </w:tcPr>
          <w:p>
            <w:pPr>
              <w:snapToGrid w:val="0"/>
              <w:spacing w:line="400" w:lineRule="exact"/>
              <w:jc w:val="center"/>
              <w:textAlignment w:val="baseline"/>
              <w:rPr>
                <w:rFonts w:ascii="宋体" w:eastAsia="仿宋_GB2312" w:cs="宋体" w:hAnsi="宋体"/>
                <w:kern w:val="0"/>
                <w:sz w:val="24"/>
                <w:szCs w:val="24"/>
              </w:rPr>
            </w:pPr>
            <w:r>
              <w:rPr>
                <w:rFonts w:ascii="宋体" w:eastAsia="仿宋_GB2312" w:hAnsi="宋体" w:hint="eastAsia"/>
                <w:sz w:val="24"/>
                <w:szCs w:val="24"/>
              </w:rPr>
              <w:t>—</w:t>
            </w:r>
          </w:p>
        </w:tc>
        <w:tc>
          <w:tcPr>
            <w:tcW w:w="1286" w:type="dxa"/>
            <w:vAlign w:val="center"/>
          </w:tcPr>
          <w:p>
            <w:pPr>
              <w:snapToGrid w:val="0"/>
              <w:spacing w:line="3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60份/百万人</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502"/>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9</w:t>
            </w:r>
          </w:p>
        </w:tc>
        <w:tc>
          <w:tcPr>
            <w:tcW w:w="4619" w:type="dxa"/>
            <w:vAlign w:val="center"/>
          </w:tcPr>
          <w:p>
            <w:pPr>
              <w:spacing w:line="400" w:lineRule="exact"/>
              <w:jc w:val="left"/>
              <w:textAlignment w:val="baseline"/>
              <w:rPr>
                <w:rFonts w:ascii="宋体" w:eastAsia="仿宋_GB2312" w:cs="宋体" w:hAnsi="宋体"/>
                <w:kern w:val="0"/>
                <w:sz w:val="24"/>
                <w:szCs w:val="24"/>
              </w:rPr>
            </w:pPr>
            <w:r>
              <w:rPr>
                <w:rFonts w:ascii="宋体" w:eastAsia="仿宋_GB2312" w:cs="宋体" w:hAnsi="宋体" w:hint="eastAsia"/>
                <w:kern w:val="0"/>
                <w:sz w:val="24"/>
                <w:szCs w:val="24"/>
              </w:rPr>
              <w:t>制订地产中药材标准和中药饮片炮制规范</w:t>
            </w:r>
          </w:p>
        </w:tc>
        <w:tc>
          <w:tcPr>
            <w:tcW w:w="1334"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hAnsi="宋体" w:hint="eastAsia"/>
                <w:sz w:val="24"/>
                <w:szCs w:val="24"/>
              </w:rPr>
              <w:t>—</w:t>
            </w:r>
          </w:p>
        </w:tc>
        <w:tc>
          <w:tcPr>
            <w:tcW w:w="1286"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50</w:t>
            </w:r>
            <w:r>
              <w:rPr>
                <w:rFonts w:ascii="宋体" w:eastAsia="仿宋_GB2312" w:cs="宋体" w:hAnsi="宋体" w:hint="eastAsia"/>
                <w:kern w:val="0"/>
                <w:sz w:val="24"/>
                <w:szCs w:val="24"/>
              </w:rPr>
              <w:t>件</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488"/>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10</w:t>
            </w:r>
          </w:p>
        </w:tc>
        <w:tc>
          <w:tcPr>
            <w:tcW w:w="4619" w:type="dxa"/>
            <w:vAlign w:val="center"/>
          </w:tcPr>
          <w:p>
            <w:pPr>
              <w:snapToGrid w:val="0"/>
              <w:spacing w:line="400" w:lineRule="exact"/>
              <w:jc w:val="left"/>
              <w:textAlignment w:val="baseline"/>
              <w:rPr>
                <w:rFonts w:ascii="宋体" w:eastAsia="仿宋_GB2312" w:cs="宋体" w:hAnsi="宋体"/>
                <w:kern w:val="0"/>
                <w:sz w:val="24"/>
                <w:szCs w:val="24"/>
              </w:rPr>
            </w:pPr>
            <w:r>
              <w:rPr>
                <w:rFonts w:ascii="宋体" w:eastAsia="仿宋_GB2312" w:cs="宋体" w:hAnsi="宋体"/>
                <w:kern w:val="0"/>
                <w:sz w:val="24"/>
                <w:szCs w:val="24"/>
              </w:rPr>
              <w:t>对涉嫌犯罪的违法行为移送司法机关</w:t>
            </w:r>
            <w:r>
              <w:rPr>
                <w:rFonts w:ascii="宋体" w:eastAsia="仿宋_GB2312" w:cs="宋体" w:hAnsi="宋体" w:hint="eastAsia"/>
                <w:kern w:val="0"/>
                <w:sz w:val="24"/>
                <w:szCs w:val="24"/>
              </w:rPr>
              <w:t>率</w:t>
            </w:r>
          </w:p>
        </w:tc>
        <w:tc>
          <w:tcPr>
            <w:tcW w:w="1334" w:type="dxa"/>
            <w:vAlign w:val="center"/>
          </w:tcPr>
          <w:p>
            <w:pPr>
              <w:snapToGrid w:val="0"/>
              <w:spacing w:line="400" w:lineRule="exact"/>
              <w:jc w:val="center"/>
              <w:textAlignment w:val="baseline"/>
              <w:rPr>
                <w:rFonts w:ascii="宋体" w:eastAsia="仿宋_GB2312" w:cs="宋体" w:hAnsi="宋体"/>
                <w:kern w:val="0"/>
                <w:sz w:val="24"/>
                <w:szCs w:val="24"/>
              </w:rPr>
            </w:pPr>
            <w:r>
              <w:rPr>
                <w:rFonts w:ascii="宋体" w:eastAsia="仿宋_GB2312" w:hAnsi="宋体" w:hint="eastAsia"/>
                <w:sz w:val="24"/>
                <w:szCs w:val="24"/>
              </w:rPr>
              <w:t>—</w:t>
            </w:r>
          </w:p>
        </w:tc>
        <w:tc>
          <w:tcPr>
            <w:tcW w:w="1286" w:type="dxa"/>
            <w:vAlign w:val="center"/>
          </w:tcPr>
          <w:p>
            <w:pPr>
              <w:snapToGrid w:val="0"/>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100%</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488"/>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11</w:t>
            </w:r>
          </w:p>
        </w:tc>
        <w:tc>
          <w:tcPr>
            <w:tcW w:w="4619" w:type="dxa"/>
            <w:vAlign w:val="center"/>
          </w:tcPr>
          <w:p>
            <w:pPr>
              <w:spacing w:line="400" w:lineRule="exact"/>
              <w:jc w:val="left"/>
              <w:textAlignment w:val="baseline"/>
              <w:rPr>
                <w:rFonts w:ascii="宋体" w:eastAsia="仿宋_GB2312" w:cs="宋体" w:hAnsi="宋体"/>
                <w:kern w:val="0"/>
                <w:sz w:val="24"/>
                <w:szCs w:val="24"/>
              </w:rPr>
            </w:pPr>
            <w:r>
              <w:rPr>
                <w:rFonts w:ascii="宋体" w:eastAsia="仿宋_GB2312" w:cs="宋体" w:hAnsi="宋体" w:hint="eastAsia"/>
                <w:kern w:val="0"/>
                <w:sz w:val="24"/>
                <w:szCs w:val="24"/>
              </w:rPr>
              <w:t>每万人口有效发明专利拥有量</w:t>
            </w:r>
          </w:p>
        </w:tc>
        <w:tc>
          <w:tcPr>
            <w:tcW w:w="1334"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4.5</w:t>
            </w:r>
            <w:r>
              <w:rPr>
                <w:rFonts w:ascii="宋体" w:eastAsia="仿宋_GB2312" w:cs="宋体" w:hAnsi="宋体" w:hint="eastAsia"/>
                <w:kern w:val="0"/>
                <w:sz w:val="24"/>
                <w:szCs w:val="24"/>
              </w:rPr>
              <w:t>件</w:t>
            </w:r>
          </w:p>
        </w:tc>
        <w:tc>
          <w:tcPr>
            <w:tcW w:w="1286"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6.2</w:t>
            </w:r>
            <w:r>
              <w:rPr>
                <w:rFonts w:ascii="宋体" w:eastAsia="仿宋_GB2312" w:cs="宋体" w:hAnsi="宋体" w:hint="eastAsia"/>
                <w:kern w:val="0"/>
                <w:sz w:val="24"/>
                <w:szCs w:val="24"/>
              </w:rPr>
              <w:t>件</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488"/>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12</w:t>
            </w:r>
          </w:p>
        </w:tc>
        <w:tc>
          <w:tcPr>
            <w:tcW w:w="4619" w:type="dxa"/>
            <w:vAlign w:val="center"/>
          </w:tcPr>
          <w:p>
            <w:pPr>
              <w:spacing w:line="400" w:lineRule="exact"/>
              <w:jc w:val="left"/>
              <w:textAlignment w:val="baseline"/>
              <w:rPr>
                <w:rFonts w:ascii="宋体" w:eastAsia="仿宋_GB2312" w:cs="宋体" w:hAnsi="宋体"/>
                <w:kern w:val="0"/>
                <w:sz w:val="24"/>
                <w:szCs w:val="24"/>
              </w:rPr>
            </w:pPr>
            <w:r>
              <w:rPr>
                <w:rFonts w:ascii="宋体" w:eastAsia="仿宋_GB2312" w:cs="宋体" w:hAnsi="宋体" w:hint="eastAsia"/>
                <w:kern w:val="0"/>
                <w:sz w:val="24"/>
                <w:szCs w:val="24"/>
              </w:rPr>
              <w:t>有效注册商标量</w:t>
            </w:r>
          </w:p>
        </w:tc>
        <w:tc>
          <w:tcPr>
            <w:tcW w:w="1334" w:type="dxa"/>
            <w:vAlign w:val="center"/>
          </w:tcPr>
          <w:p>
            <w:pPr>
              <w:spacing w:line="400" w:lineRule="exact"/>
              <w:jc w:val="center"/>
              <w:textAlignment w:val="baseline"/>
              <w:rPr>
                <w:rFonts w:ascii="宋体" w:eastAsia="仿宋_GB2312" w:cs="宋体" w:hAnsi="宋体"/>
                <w:spacing w:val="-6"/>
                <w:kern w:val="0"/>
                <w:sz w:val="24"/>
                <w:szCs w:val="24"/>
              </w:rPr>
            </w:pPr>
            <w:r>
              <w:rPr>
                <w:rFonts w:ascii="宋体" w:eastAsia="仿宋_GB2312" w:cs="宋体" w:hAnsi="宋体"/>
                <w:spacing w:val="-6"/>
                <w:kern w:val="0"/>
                <w:sz w:val="24"/>
                <w:szCs w:val="24"/>
              </w:rPr>
              <w:t>12.07</w:t>
            </w:r>
            <w:r>
              <w:rPr>
                <w:rFonts w:ascii="宋体" w:eastAsia="仿宋_GB2312" w:cs="宋体" w:hAnsi="宋体" w:hint="eastAsia"/>
                <w:spacing w:val="-6"/>
                <w:kern w:val="0"/>
                <w:sz w:val="24"/>
                <w:szCs w:val="24"/>
              </w:rPr>
              <w:t>万件</w:t>
            </w:r>
          </w:p>
        </w:tc>
        <w:tc>
          <w:tcPr>
            <w:tcW w:w="1286"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20</w:t>
            </w:r>
            <w:r>
              <w:rPr>
                <w:rFonts w:ascii="宋体" w:eastAsia="仿宋_GB2312" w:cs="宋体" w:hAnsi="宋体" w:hint="eastAsia"/>
                <w:kern w:val="0"/>
                <w:sz w:val="24"/>
                <w:szCs w:val="24"/>
              </w:rPr>
              <w:t>万件</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488"/>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13</w:t>
            </w:r>
          </w:p>
        </w:tc>
        <w:tc>
          <w:tcPr>
            <w:tcW w:w="4619" w:type="dxa"/>
            <w:vAlign w:val="center"/>
          </w:tcPr>
          <w:p>
            <w:pPr>
              <w:spacing w:line="400" w:lineRule="exact"/>
              <w:jc w:val="left"/>
              <w:textAlignment w:val="baseline"/>
              <w:rPr>
                <w:rFonts w:ascii="宋体" w:eastAsia="仿宋_GB2312" w:cs="宋体" w:hAnsi="宋体"/>
                <w:kern w:val="0"/>
                <w:sz w:val="24"/>
                <w:szCs w:val="24"/>
              </w:rPr>
            </w:pPr>
            <w:r>
              <w:rPr>
                <w:rFonts w:ascii="宋体" w:eastAsia="仿宋_GB2312" w:cs="宋体" w:hAnsi="宋体"/>
                <w:kern w:val="0"/>
                <w:sz w:val="24"/>
                <w:szCs w:val="24"/>
              </w:rPr>
              <w:t>PCT</w:t>
            </w:r>
            <w:r>
              <w:rPr>
                <w:rFonts w:ascii="宋体" w:eastAsia="仿宋_GB2312" w:cs="宋体" w:hAnsi="宋体" w:hint="eastAsia"/>
                <w:kern w:val="0"/>
                <w:sz w:val="24"/>
                <w:szCs w:val="24"/>
              </w:rPr>
              <w:t>专利申请量</w:t>
            </w:r>
          </w:p>
        </w:tc>
        <w:tc>
          <w:tcPr>
            <w:tcW w:w="1334"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109</w:t>
            </w:r>
            <w:r>
              <w:rPr>
                <w:rFonts w:ascii="宋体" w:eastAsia="仿宋_GB2312" w:cs="宋体" w:hAnsi="宋体" w:hint="eastAsia"/>
                <w:kern w:val="0"/>
                <w:sz w:val="24"/>
                <w:szCs w:val="24"/>
              </w:rPr>
              <w:t>件</w:t>
            </w:r>
          </w:p>
        </w:tc>
        <w:tc>
          <w:tcPr>
            <w:tcW w:w="1286"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150</w:t>
            </w:r>
            <w:r>
              <w:rPr>
                <w:rFonts w:ascii="宋体" w:eastAsia="仿宋_GB2312" w:cs="宋体" w:hAnsi="宋体" w:hint="eastAsia"/>
                <w:kern w:val="0"/>
                <w:sz w:val="24"/>
                <w:szCs w:val="24"/>
              </w:rPr>
              <w:t>件</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r>
        <w:trPr>
          <w:trHeight w:hRule="exact" w:val="488"/>
        </w:trPr>
        <w:tc>
          <w:tcPr>
            <w:tcW w:w="70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14</w:t>
            </w:r>
          </w:p>
        </w:tc>
        <w:tc>
          <w:tcPr>
            <w:tcW w:w="4619" w:type="dxa"/>
            <w:vAlign w:val="center"/>
          </w:tcPr>
          <w:p>
            <w:pPr>
              <w:spacing w:line="400" w:lineRule="exact"/>
              <w:jc w:val="left"/>
              <w:textAlignment w:val="baseline"/>
              <w:rPr>
                <w:rFonts w:ascii="宋体" w:eastAsia="仿宋_GB2312" w:cs="宋体" w:hAnsi="宋体"/>
                <w:kern w:val="0"/>
                <w:sz w:val="24"/>
                <w:szCs w:val="24"/>
              </w:rPr>
            </w:pPr>
            <w:r>
              <w:rPr>
                <w:rFonts w:ascii="宋体" w:eastAsia="仿宋_GB2312" w:cs="宋体" w:hAnsi="宋体" w:hint="eastAsia"/>
                <w:kern w:val="0"/>
                <w:sz w:val="24"/>
                <w:szCs w:val="24"/>
              </w:rPr>
              <w:t>地理标志商标</w:t>
            </w:r>
          </w:p>
        </w:tc>
        <w:tc>
          <w:tcPr>
            <w:tcW w:w="1334"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84</w:t>
            </w:r>
            <w:r>
              <w:rPr>
                <w:rFonts w:ascii="宋体" w:eastAsia="仿宋_GB2312" w:cs="宋体" w:hAnsi="宋体" w:hint="eastAsia"/>
                <w:kern w:val="0"/>
                <w:sz w:val="24"/>
                <w:szCs w:val="24"/>
              </w:rPr>
              <w:t>件</w:t>
            </w:r>
          </w:p>
        </w:tc>
        <w:tc>
          <w:tcPr>
            <w:tcW w:w="1286"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kern w:val="0"/>
                <w:sz w:val="24"/>
                <w:szCs w:val="24"/>
              </w:rPr>
              <w:t>184</w:t>
            </w:r>
            <w:r>
              <w:rPr>
                <w:rFonts w:ascii="宋体" w:eastAsia="仿宋_GB2312" w:cs="宋体" w:hAnsi="宋体" w:hint="eastAsia"/>
                <w:kern w:val="0"/>
                <w:sz w:val="24"/>
                <w:szCs w:val="24"/>
              </w:rPr>
              <w:t>件</w:t>
            </w:r>
          </w:p>
        </w:tc>
        <w:tc>
          <w:tcPr>
            <w:tcW w:w="1055" w:type="dxa"/>
            <w:vAlign w:val="center"/>
          </w:tcPr>
          <w:p>
            <w:pPr>
              <w:spacing w:line="400" w:lineRule="exact"/>
              <w:jc w:val="center"/>
              <w:textAlignment w:val="baseline"/>
              <w:rPr>
                <w:rFonts w:ascii="宋体" w:eastAsia="仿宋_GB2312" w:cs="宋体" w:hAnsi="宋体"/>
                <w:kern w:val="0"/>
                <w:sz w:val="24"/>
                <w:szCs w:val="24"/>
              </w:rPr>
            </w:pPr>
            <w:r>
              <w:rPr>
                <w:rFonts w:ascii="宋体" w:eastAsia="仿宋_GB2312" w:cs="宋体" w:hAnsi="宋体" w:hint="eastAsia"/>
                <w:kern w:val="0"/>
                <w:sz w:val="24"/>
                <w:szCs w:val="24"/>
              </w:rPr>
              <w:t>预期性</w:t>
            </w:r>
          </w:p>
        </w:tc>
      </w:tr>
    </w:tbl>
    <w:p>
      <w:pPr>
        <w:pStyle w:val="37"/>
        <w:keepNext w:val="0"/>
        <w:keepLines w:val="0"/>
        <w:widowControl w:val="0"/>
        <w:spacing w:before="100" w:beforeAutospacing="1" w:after="100" w:afterAutospacing="1" w:line="579" w:lineRule="exact"/>
        <w:textAlignment w:val="baseline"/>
        <w:outlineLvl w:val="9"/>
        <w:rPr>
          <w:rFonts w:ascii="宋体" w:hAnsi="宋体"/>
          <w:b w:val="0"/>
          <w:szCs w:val="32"/>
        </w:rPr>
      </w:pPr>
      <w:bookmarkStart w:id="9" w:name="_Toc67532137"/>
      <w:r>
        <w:rPr>
          <w:rFonts w:ascii="宋体" w:hAnsi="宋体" w:hint="eastAsia"/>
          <w:b w:val="0"/>
          <w:szCs w:val="32"/>
        </w:rPr>
        <w:t>三、深化“放管服”改革，打造营商环境“海南样板”</w:t>
      </w:r>
      <w:bookmarkEnd w:id="9"/>
    </w:p>
    <w:p>
      <w:pPr>
        <w:spacing w:line="579" w:lineRule="exact"/>
        <w:ind w:firstLineChars="200" w:firstLine="640"/>
        <w:textAlignment w:val="baseline"/>
        <w:rPr>
          <w:rFonts w:ascii="宋体" w:eastAsia="仿宋_GB2312" w:cs="宋体" w:hAnsi="宋体"/>
          <w:kern w:val="0"/>
          <w:sz w:val="32"/>
          <w:szCs w:val="32"/>
        </w:rPr>
      </w:pPr>
      <w:bookmarkStart w:id="10" w:name="_Toc67532138"/>
      <w:r>
        <w:rPr>
          <w:rStyle w:val="22Char"/>
          <w:rFonts w:ascii="宋体" w:eastAsia="楷体_GB2312" w:hAnsi="宋体" w:hint="eastAsia"/>
          <w:b w:val="0"/>
        </w:rPr>
        <w:t>（七）进一步简政放权</w:t>
      </w:r>
      <w:bookmarkEnd w:id="10"/>
      <w:r>
        <w:rPr>
          <w:rStyle w:val="22Char"/>
          <w:rFonts w:ascii="宋体" w:eastAsia="楷体_GB2312" w:hAnsi="宋体" w:hint="eastAsia"/>
          <w:b w:val="0"/>
        </w:rPr>
        <w:t>。</w:t>
      </w:r>
      <w:r>
        <w:rPr>
          <w:rFonts w:ascii="宋体" w:eastAsia="仿宋_GB2312" w:cs="宋体" w:hAnsi="宋体" w:hint="eastAsia"/>
          <w:kern w:val="0"/>
          <w:sz w:val="32"/>
          <w:szCs w:val="32"/>
        </w:rPr>
        <w:t>科学编制市场监管权力清单，减少政府对微观事务的干预。坚持以《民法典》作为行政决策、行政管理、行政监督的主要标尺。科学界定市场监管的内容，减少监管事项。系统梳理全省现有各层级的审批、各种具有审批性质的管理措施，推动取消不必要的审批，大幅精简各类重复审批。强化对简政放权的督查检查，防止明放暗不放、虚放实不放、截留政策红利等现象。</w:t>
      </w:r>
    </w:p>
    <w:p>
      <w:pPr>
        <w:overflowPunct w:val="0"/>
        <w:spacing w:line="579" w:lineRule="exact"/>
        <w:ind w:firstLineChars="200" w:firstLine="624"/>
        <w:textAlignment w:val="baseline"/>
        <w:rPr>
          <w:rFonts w:ascii="宋体" w:eastAsia="仿宋_GB2312" w:cs="宋体" w:hAnsi="宋体"/>
          <w:spacing w:val="-4"/>
          <w:kern w:val="0"/>
          <w:sz w:val="32"/>
          <w:szCs w:val="32"/>
        </w:rPr>
      </w:pPr>
      <w:bookmarkStart w:id="11" w:name="_Toc67532139"/>
      <w:r>
        <w:rPr>
          <w:rStyle w:val="22Char"/>
          <w:rFonts w:ascii="宋体" w:eastAsia="楷体_GB2312" w:hAnsi="宋体" w:hint="eastAsia"/>
          <w:b w:val="0"/>
          <w:spacing w:val="-4"/>
        </w:rPr>
        <w:t>（八）</w:t>
      </w:r>
      <w:r>
        <w:rPr>
          <w:rStyle w:val="22Char"/>
          <w:rFonts w:ascii="宋体" w:eastAsia="楷体_GB2312" w:hAnsi="宋体" w:hint="eastAsia"/>
          <w:b w:val="0"/>
        </w:rPr>
        <w:t>深化市场主体准入制度改革</w:t>
      </w:r>
      <w:bookmarkEnd w:id="11"/>
      <w:r>
        <w:rPr>
          <w:rStyle w:val="22Char"/>
          <w:rFonts w:ascii="宋体" w:eastAsia="楷体_GB2312" w:hAnsi="宋体" w:hint="eastAsia"/>
          <w:b w:val="0"/>
        </w:rPr>
        <w:t>。</w:t>
      </w:r>
      <w:r>
        <w:rPr>
          <w:rFonts w:ascii="宋体" w:eastAsia="仿宋_GB2312" w:cs="宋体" w:hAnsi="宋体" w:hint="eastAsia"/>
          <w:spacing w:val="-4"/>
          <w:kern w:val="0"/>
          <w:sz w:val="32"/>
          <w:szCs w:val="32"/>
        </w:rPr>
        <w:t>着力解决“准入不准营”问题。深化极简审批</w:t>
      </w:r>
      <w:r>
        <w:rPr>
          <w:rFonts w:ascii="宋体" w:eastAsia="仿宋_GB2312" w:cs="宋体" w:hAnsi="宋体" w:hint="eastAsia"/>
          <w:spacing w:val="-4"/>
          <w:kern w:val="0"/>
          <w:sz w:val="32"/>
          <w:szCs w:val="32"/>
          <w:vertAlign w:val="superscript"/>
        </w:rPr>
        <w:t>[</w:t>
      </w:r>
      <w:r>
        <w:rPr>
          <w:rFonts w:ascii="宋体" w:eastAsia="仿宋_GB2312" w:cs="宋体" w:hAnsi="宋体"/>
          <w:spacing w:val="-4"/>
          <w:kern w:val="0"/>
          <w:sz w:val="32"/>
          <w:szCs w:val="32"/>
          <w:vertAlign w:val="superscript"/>
        </w:rPr>
        <w:t>8]</w:t>
      </w:r>
      <w:r>
        <w:rPr>
          <w:rFonts w:ascii="宋体" w:eastAsia="仿宋_GB2312" w:cs="宋体" w:hAnsi="宋体" w:hint="eastAsia"/>
          <w:spacing w:val="-4"/>
          <w:kern w:val="0"/>
          <w:sz w:val="32"/>
          <w:szCs w:val="32"/>
        </w:rPr>
        <w:t>改革，不断提高工作效率。聚焦投资贸易自由便利，打造国内一流营商环境新模式。全面实施市场准入负面清单制度。建立以电子证照为主的设立便利，以“有事必应、无事不扰”为主的经营便利，以公告承诺和优化程序为主的注销便利等制度。对商事登记实行确认制，对企业名称、住所和经营场所等实行自主申报，对市场主体退出制度实行更加便捷改革。在“管得住”的前提下，对具有强制性标准领域，原则上取消许可和审批。深化“证照分离”改革，实现法人资格和经营资格分离。加强监管规则与国际投资、贸易规则、技术标准的协调，为国际国内双循环提供有力的监管支撑。</w:t>
      </w:r>
    </w:p>
    <w:p>
      <w:pPr>
        <w:overflowPunct w:val="0"/>
        <w:spacing w:line="579" w:lineRule="exact"/>
        <w:ind w:firstLineChars="200" w:firstLine="624"/>
        <w:textAlignment w:val="baseline"/>
        <w:rPr>
          <w:rFonts w:ascii="宋体" w:eastAsia="仿宋_GB2312" w:cs="宋体" w:hAnsi="宋体"/>
          <w:spacing w:val="-4"/>
          <w:kern w:val="0"/>
          <w:sz w:val="32"/>
          <w:szCs w:val="32"/>
        </w:rPr>
      </w:pPr>
    </w:p>
    <w:p>
      <w:pPr>
        <w:overflowPunct w:val="0"/>
        <w:spacing w:line="579" w:lineRule="exact"/>
        <w:ind w:firstLineChars="200" w:firstLine="624"/>
        <w:textAlignment w:val="baseline"/>
        <w:rPr>
          <w:rFonts w:ascii="宋体" w:eastAsia="仿宋_GB2312" w:cs="宋体" w:hAnsi="宋体"/>
          <w:spacing w:val="-4"/>
          <w:kern w:val="0"/>
          <w:sz w:val="32"/>
          <w:szCs w:val="32"/>
        </w:rPr>
      </w:pPr>
    </w:p>
    <w:tbl>
      <w:tblPr>
        <w:jc w:val="cente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58"/>
      </w:tblGrid>
      <w:tr>
        <w:trPr>
          <w:trHeight w:val="651"/>
        </w:trPr>
        <w:tc>
          <w:tcPr>
            <w:tcW w:w="8758" w:type="dxa"/>
            <w:vAlign w:val="center"/>
          </w:tcPr>
          <w:p>
            <w:pPr>
              <w:jc w:val="center"/>
              <w:textAlignment w:val="baseline"/>
              <w:rPr>
                <w:rFonts w:ascii="宋体" w:eastAsia="楷体_GB2312" w:cs="宋体" w:hAnsi="宋体"/>
                <w:kern w:val="0"/>
                <w:sz w:val="32"/>
                <w:szCs w:val="32"/>
              </w:rPr>
            </w:pPr>
            <w:r>
              <w:rPr>
                <w:rFonts w:ascii="宋体" w:eastAsia="楷体_GB2312" w:hAnsi="宋体" w:hint="eastAsia"/>
                <w:bCs/>
                <w:sz w:val="28"/>
                <w:szCs w:val="24"/>
              </w:rPr>
              <w:t>专栏</w:t>
            </w:r>
            <w:r>
              <w:rPr>
                <w:rFonts w:ascii="宋体" w:hint="eastAsia"/>
                <w:bCs/>
                <w:sz w:val="28"/>
                <w:szCs w:val="24"/>
              </w:rPr>
              <w:t>1</w:t>
            </w:r>
            <w:r>
              <w:rPr>
                <w:rFonts w:ascii="宋体" w:eastAsia="楷体_GB2312" w:hAnsi="宋体" w:hint="eastAsia"/>
                <w:bCs/>
                <w:sz w:val="28"/>
                <w:szCs w:val="24"/>
              </w:rPr>
              <w:t xml:space="preserve">  海南省法人库工程</w:t>
            </w:r>
          </w:p>
        </w:tc>
      </w:tr>
      <w:tr>
        <w:trPr>
          <w:trHeight w:val="2735"/>
        </w:trPr>
        <w:tc>
          <w:tcPr>
            <w:tcW w:w="8758" w:type="dxa"/>
            <w:vAlign w:val="center"/>
          </w:tcPr>
          <w:p>
            <w:pPr>
              <w:pStyle w:val="33"/>
              <w:spacing w:line="40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法人库工程是市场监管工作的基础性工程。推进省法人库工程建设，依托国家电子政务外网，完善省级经济户籍数据库，完善市场监管（工商）登记市场准入及市场监管等业务信息系统，为国家法人基础信息库和共享开放提供基础数据资源，逐步形成共享交换和多元校核的协同机制，提升国家法人基础信息库的权威性、基准性，为商事制度改革提供信息化支撑。</w:t>
            </w:r>
          </w:p>
        </w:tc>
      </w:tr>
    </w:tbl>
    <w:p>
      <w:pPr>
        <w:spacing w:line="579" w:lineRule="exact"/>
        <w:ind w:firstLineChars="200" w:firstLine="640"/>
        <w:textAlignment w:val="baseline"/>
        <w:rPr>
          <w:rFonts w:ascii="宋体" w:eastAsia="楷体_GB2312" w:cs="宋体" w:hAnsi="宋体"/>
          <w:kern w:val="0"/>
          <w:sz w:val="32"/>
          <w:szCs w:val="32"/>
        </w:rPr>
      </w:pPr>
    </w:p>
    <w:p>
      <w:pPr>
        <w:spacing w:line="579" w:lineRule="exact"/>
        <w:ind w:firstLineChars="200" w:firstLine="640"/>
        <w:textAlignment w:val="baseline"/>
        <w:rPr>
          <w:rFonts w:ascii="宋体" w:eastAsia="楷体_GB2312" w:cs="宋体" w:hAnsi="宋体"/>
          <w:bCs/>
          <w:kern w:val="0"/>
          <w:sz w:val="32"/>
          <w:szCs w:val="32"/>
        </w:rPr>
      </w:pPr>
      <w:bookmarkStart w:id="12" w:name="_Toc67532140"/>
      <w:r>
        <w:rPr>
          <w:rStyle w:val="22Char"/>
          <w:rFonts w:ascii="宋体" w:eastAsia="楷体_GB2312" w:hAnsi="宋体" w:hint="eastAsia"/>
          <w:b w:val="0"/>
        </w:rPr>
        <w:t>（九）推进产品准入制度改革</w:t>
      </w:r>
      <w:bookmarkEnd w:id="12"/>
      <w:r>
        <w:rPr>
          <w:rStyle w:val="22Char"/>
          <w:rFonts w:ascii="宋体" w:eastAsia="楷体_GB2312" w:hAnsi="宋体" w:hint="eastAsia"/>
          <w:b w:val="0"/>
        </w:rPr>
        <w:t>。</w:t>
      </w:r>
      <w:r>
        <w:rPr>
          <w:rFonts w:ascii="宋体" w:eastAsia="仿宋_GB2312" w:cs="宋体" w:hAnsi="宋体" w:hint="eastAsia"/>
          <w:kern w:val="0"/>
          <w:sz w:val="32"/>
          <w:szCs w:val="32"/>
        </w:rPr>
        <w:t>推动面向社会的第三方技术评价向认证制度转变。改革和完善3C认证</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9]</w:t>
      </w:r>
      <w:r>
        <w:rPr>
          <w:rFonts w:ascii="宋体" w:eastAsia="仿宋_GB2312" w:cs="宋体" w:hAnsi="宋体" w:hint="eastAsia"/>
          <w:kern w:val="0"/>
          <w:sz w:val="32"/>
          <w:szCs w:val="32"/>
        </w:rPr>
        <w:t>制度，压减强制性产品认证目录，实行目录动态调整，推动对产品进入市场限制“最小化”。对部分实行生产许可证管理的产品，鼓励转为自愿性认证管理。解决进口产品重新获得国内3C认证时间长、程序繁琐的问题。</w:t>
      </w:r>
    </w:p>
    <w:p>
      <w:pPr>
        <w:spacing w:line="579" w:lineRule="exact"/>
        <w:ind w:firstLineChars="200" w:firstLine="640"/>
        <w:textAlignment w:val="baseline"/>
        <w:rPr>
          <w:rFonts w:ascii="宋体" w:eastAsia="仿宋_GB2312" w:cs="宋体" w:hAnsi="宋体"/>
          <w:kern w:val="0"/>
          <w:sz w:val="32"/>
          <w:szCs w:val="32"/>
        </w:rPr>
      </w:pPr>
      <w:bookmarkStart w:id="13" w:name="_Toc67532141"/>
      <w:r>
        <w:rPr>
          <w:rStyle w:val="22Char"/>
          <w:rFonts w:ascii="宋体" w:eastAsia="楷体_GB2312" w:hAnsi="宋体" w:hint="eastAsia"/>
          <w:b w:val="0"/>
        </w:rPr>
        <w:t>（十）提高政府公共服务效率</w:t>
      </w:r>
      <w:bookmarkEnd w:id="13"/>
      <w:r>
        <w:rPr>
          <w:rStyle w:val="22Char"/>
          <w:rFonts w:ascii="宋体" w:eastAsia="楷体_GB2312" w:hAnsi="宋体" w:hint="eastAsia"/>
          <w:b w:val="0"/>
        </w:rPr>
        <w:t>。</w:t>
      </w:r>
      <w:r>
        <w:rPr>
          <w:rFonts w:ascii="宋体" w:eastAsia="仿宋_GB2312" w:cs="宋体" w:hAnsi="宋体" w:hint="eastAsia"/>
          <w:kern w:val="0"/>
          <w:sz w:val="32"/>
          <w:szCs w:val="32"/>
        </w:rPr>
        <w:t>推进不见面办事升级提效，提升政府服务功能，推动更多事项集成办理和“全省通办”。优化“海南e登记”平台功能，强化“一网通办”各业务部门之间的信息实时对接、共享交换、互认互通，进一步优化“一网通办”模块的流畅度和可信度，推动线上线下功能互补、深度融合。全面推行政务服务标准化、规范化。兼顾特殊人群需求，采取必要的线下补充手段，有针对性地提供人工指导和服务。完善“服务企业、服务项目、服务基层”三服务机制。</w:t>
      </w:r>
    </w:p>
    <w:p>
      <w:pPr>
        <w:spacing w:line="579" w:lineRule="exact"/>
        <w:ind w:firstLineChars="200" w:firstLine="640"/>
        <w:textAlignment w:val="baseline"/>
        <w:rPr>
          <w:rFonts w:ascii="宋体" w:eastAsia="仿宋_GB2312" w:cs="宋体" w:hAnsi="宋体"/>
          <w:kern w:val="0"/>
          <w:sz w:val="32"/>
          <w:szCs w:val="32"/>
        </w:rPr>
      </w:pPr>
    </w:p>
    <w:tbl>
      <w:tblPr>
        <w:jc w:val="cente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44"/>
      </w:tblGrid>
      <w:tr>
        <w:trPr>
          <w:trHeight w:val="516"/>
        </w:trPr>
        <w:tc>
          <w:tcPr>
            <w:tcW w:w="8644" w:type="dxa"/>
            <w:vAlign w:val="center"/>
          </w:tcPr>
          <w:p>
            <w:pPr>
              <w:pStyle w:val="33"/>
              <w:ind w:firstLineChars="0" w:firstLine="0"/>
              <w:jc w:val="center"/>
              <w:textAlignment w:val="baseline"/>
              <w:rPr>
                <w:rFonts w:ascii="宋体" w:eastAsia="楷体_GB2312" w:hAnsi="宋体"/>
                <w:bCs/>
                <w:sz w:val="28"/>
                <w:szCs w:val="24"/>
              </w:rPr>
            </w:pPr>
            <w:r>
              <w:rPr>
                <w:rFonts w:ascii="宋体" w:eastAsia="楷体_GB2312" w:hAnsi="宋体" w:hint="eastAsia"/>
                <w:bCs/>
                <w:sz w:val="28"/>
                <w:szCs w:val="24"/>
              </w:rPr>
              <w:t>专栏2  市场监管综合业务平台工程</w:t>
            </w:r>
          </w:p>
        </w:tc>
      </w:tr>
      <w:tr>
        <w:trPr>
          <w:trHeight w:val="6773"/>
        </w:trPr>
        <w:tc>
          <w:tcPr>
            <w:tcW w:w="8644" w:type="dxa"/>
            <w:vAlign w:val="center"/>
          </w:tcPr>
          <w:p>
            <w:pPr>
              <w:pStyle w:val="33"/>
              <w:spacing w:line="40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优化“海南e登记”，压缩企业开办时间，推进“证照分离”改革，促进注销便利化，最终实现政策更优、成本更低、服务更好、办事更快的自贸港营商环境；实现年报工作常态化、年报人员专人化、年报操作便捷化、年报数据同源化；实现外商投资企业通过企业登记系统报送信息和通过国家企业信用信息公示系统（海南）填报企业年度报告。</w:t>
            </w:r>
          </w:p>
          <w:p>
            <w:pPr>
              <w:pStyle w:val="33"/>
              <w:spacing w:line="40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打造集数据实时归集共享、全流程监管、智能分析预警、数据全面可视于一体的统一的智慧市场监管平台。以登记注册为起点，以市场主体信用数据库为基础，充分利用大数据、5G等信息技术和新型共治体系，探索构建企业信用风险分类指标体系和自动化分类模块，完善企业信用修复机制，将企业信用风险分类结果与监管措施有机结合，提高监管的精准性和有效性；建设具备全程监管功能的智能平台，实现事中事后监管的智慧化。对内实现信用监管、靶向监管、决策支持等总体要求，对外健全省市场监管部门与其他政府部门的业务协同、数据互联互通等要求，实现我省市场监管业务的跨层级、跨区域、跨系统、跨部门、跨处室的协同管理和服务。</w:t>
            </w:r>
          </w:p>
        </w:tc>
      </w:tr>
    </w:tbl>
    <w:p>
      <w:pPr>
        <w:spacing w:line="579" w:lineRule="exact"/>
        <w:ind w:firstLineChars="200" w:firstLine="640"/>
        <w:textAlignment w:val="baseline"/>
        <w:rPr>
          <w:rFonts w:ascii="宋体" w:eastAsia="黑体" w:cs="黑体" w:hAnsi="宋体"/>
          <w:kern w:val="0"/>
          <w:sz w:val="32"/>
          <w:szCs w:val="32"/>
        </w:rPr>
      </w:pPr>
    </w:p>
    <w:p>
      <w:pPr>
        <w:spacing w:line="579" w:lineRule="exact"/>
        <w:ind w:firstLineChars="200" w:firstLine="640"/>
        <w:textAlignment w:val="baseline"/>
        <w:rPr>
          <w:rFonts w:ascii="宋体" w:eastAsia="仿宋_GB2312" w:cs="宋体" w:hAnsi="宋体"/>
          <w:kern w:val="0"/>
          <w:sz w:val="32"/>
          <w:szCs w:val="32"/>
        </w:rPr>
      </w:pPr>
      <w:r>
        <w:rPr>
          <w:rFonts w:ascii="宋体" w:eastAsia="楷体_GB2312" w:cs="宋体" w:hAnsi="宋体" w:hint="eastAsia"/>
          <w:kern w:val="0"/>
          <w:sz w:val="32"/>
          <w:szCs w:val="32"/>
        </w:rPr>
        <w:t>（十一）</w:t>
      </w:r>
      <w:r>
        <w:rPr>
          <w:rStyle w:val="22Char"/>
          <w:rFonts w:ascii="宋体" w:eastAsia="楷体_GB2312" w:hAnsi="宋体" w:hint="eastAsia"/>
          <w:b w:val="0"/>
        </w:rPr>
        <w:t>提高市场主体质量。</w:t>
      </w:r>
      <w:r>
        <w:rPr>
          <w:rFonts w:ascii="宋体" w:eastAsia="仿宋_GB2312" w:cs="宋体" w:hAnsi="宋体" w:hint="eastAsia"/>
          <w:kern w:val="0"/>
          <w:sz w:val="32"/>
          <w:szCs w:val="32"/>
        </w:rPr>
        <w:t>坚持增加总量、提高质量、鼓励先进、淘汰落后，在保持市场主体稳定增长的同时，更加注重市场主体质量。发展总部经济，大力支持国内外先进科技研发企业等落户我省，大力支持我省拥有自主知识产权企业加快发展，涌现更多</w:t>
      </w:r>
      <w:r>
        <w:rPr>
          <w:rFonts w:ascii="宋体" w:eastAsia="仿宋_GB2312" w:hAnsi="宋体" w:hint="eastAsia"/>
          <w:sz w:val="32"/>
          <w:szCs w:val="32"/>
        </w:rPr>
        <w:t>“海南品牌”。充分利用和发掘</w:t>
      </w:r>
      <w:r>
        <w:rPr>
          <w:rFonts w:ascii="宋体" w:eastAsia="仿宋_GB2312" w:cs="宋体" w:hAnsi="宋体" w:hint="eastAsia"/>
          <w:kern w:val="0"/>
          <w:sz w:val="32"/>
          <w:szCs w:val="32"/>
        </w:rPr>
        <w:t>我省</w:t>
      </w:r>
      <w:r>
        <w:rPr>
          <w:rFonts w:ascii="宋体" w:eastAsia="仿宋_GB2312" w:hAnsi="宋体" w:hint="eastAsia"/>
          <w:sz w:val="32"/>
          <w:szCs w:val="32"/>
        </w:rPr>
        <w:t>自然环境、植物种类多等优势，探索新的市场主体形式，推动</w:t>
      </w:r>
      <w:r>
        <w:rPr>
          <w:rFonts w:ascii="宋体" w:eastAsia="仿宋_GB2312" w:cs="宋体" w:hAnsi="宋体" w:hint="eastAsia"/>
          <w:kern w:val="0"/>
          <w:sz w:val="32"/>
          <w:szCs w:val="32"/>
        </w:rPr>
        <w:t>生态环保、生物医药、特色旅游等产业集群发展。稳步推进个体工商户转为企业工作，推动个体工商户、小微企业上规模、上水平。加强标准的国际比对，促进与欧盟等境外检验结果互认，促进企业出口。争取更多地理标志进入中欧地理标志协定清单。</w:t>
      </w:r>
    </w:p>
    <w:p>
      <w:pPr>
        <w:spacing w:line="579" w:lineRule="exact"/>
        <w:ind w:firstLineChars="200" w:firstLine="640"/>
        <w:textAlignment w:val="baseline"/>
        <w:rPr>
          <w:rFonts w:ascii="宋体" w:eastAsia="黑体" w:cs="黑体" w:hAnsi="宋体"/>
          <w:kern w:val="0"/>
          <w:sz w:val="32"/>
          <w:szCs w:val="32"/>
        </w:rPr>
      </w:pPr>
    </w:p>
    <w:tbl>
      <w:tblPr>
        <w:jc w:val="cente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76"/>
      </w:tblGrid>
      <w:tr>
        <w:trPr>
          <w:trHeight w:val="455"/>
        </w:trPr>
        <w:tc>
          <w:tcPr>
            <w:tcW w:w="8876" w:type="dxa"/>
            <w:vAlign w:val="center"/>
          </w:tcPr>
          <w:p>
            <w:pPr>
              <w:jc w:val="center"/>
              <w:textAlignment w:val="baseline"/>
              <w:rPr>
                <w:rFonts w:ascii="宋体" w:eastAsia="楷体_GB2312" w:hAnsi="宋体"/>
                <w:bCs/>
                <w:sz w:val="28"/>
                <w:szCs w:val="24"/>
              </w:rPr>
            </w:pPr>
            <w:r>
              <w:rPr>
                <w:rFonts w:ascii="宋体" w:eastAsia="楷体_GB2312" w:hAnsi="宋体" w:hint="eastAsia"/>
                <w:bCs/>
                <w:sz w:val="28"/>
                <w:szCs w:val="24"/>
              </w:rPr>
              <w:t>专栏3  促进医药产业高质量发展行动</w:t>
            </w:r>
          </w:p>
        </w:tc>
      </w:tr>
      <w:tr>
        <w:trPr>
          <w:trHeight w:val="3905"/>
        </w:trPr>
        <w:tc>
          <w:tcPr>
            <w:tcW w:w="8876" w:type="dxa"/>
            <w:vAlign w:val="center"/>
          </w:tcPr>
          <w:p>
            <w:pPr>
              <w:pStyle w:val="33"/>
              <w:spacing w:line="40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推动医药产业转型升级，充分利用药品上市许可人和医疗器械注册人制度，发挥海南自由贸易港“零关税、低税制、简税制”等政策优势，吸引企业在我省成立高端研发基地。鼓励已获证进口医疗器械转移国内生产，吸引国际医疗器械企业来琼建立生产基地。深化博鳌乐城国际医疗旅游先行区临床急需进口药械政策，适度扩大临床急需进口药械政策适用范围，提高患者用药便利性，满足先行区健康多样化需求。持续开展临床真实世界数据应用研究，加快临床真实世界数据应用试点工作进度，将博鳌乐城国际医疗旅游先行区打造成国外先进药械产品进入中国的门户，带动我省医药产业转型升级。</w:t>
            </w:r>
          </w:p>
        </w:tc>
      </w:tr>
    </w:tbl>
    <w:p>
      <w:pPr>
        <w:pStyle w:val="37"/>
        <w:keepNext w:val="0"/>
        <w:keepLines w:val="0"/>
        <w:widowControl w:val="0"/>
        <w:spacing w:before="0" w:after="0" w:line="579" w:lineRule="exact"/>
        <w:textAlignment w:val="baseline"/>
        <w:outlineLvl w:val="9"/>
        <w:rPr>
          <w:rFonts w:ascii="宋体" w:hAnsi="宋体"/>
          <w:b w:val="0"/>
          <w:szCs w:val="32"/>
        </w:rPr>
      </w:pPr>
      <w:bookmarkStart w:id="14" w:name="_Toc67532142"/>
    </w:p>
    <w:p>
      <w:pPr>
        <w:pStyle w:val="37"/>
        <w:keepNext w:val="0"/>
        <w:keepLines w:val="0"/>
        <w:widowControl w:val="0"/>
        <w:spacing w:before="100" w:beforeAutospacing="1" w:after="100" w:afterAutospacing="1" w:line="579" w:lineRule="exact"/>
        <w:textAlignment w:val="baseline"/>
        <w:outlineLvl w:val="9"/>
        <w:rPr>
          <w:rFonts w:ascii="宋体" w:hAnsi="宋体"/>
          <w:b w:val="0"/>
          <w:szCs w:val="32"/>
        </w:rPr>
      </w:pPr>
      <w:r>
        <w:rPr>
          <w:rFonts w:ascii="宋体" w:hAnsi="宋体" w:hint="eastAsia"/>
          <w:b w:val="0"/>
          <w:szCs w:val="32"/>
        </w:rPr>
        <w:t>四、服务新发展格局，构建现代化市场监管制度</w:t>
      </w:r>
      <w:bookmarkEnd w:id="14"/>
    </w:p>
    <w:p>
      <w:pPr>
        <w:spacing w:line="579" w:lineRule="exact"/>
        <w:ind w:firstLineChars="200" w:firstLine="640"/>
        <w:textAlignment w:val="baseline"/>
        <w:rPr>
          <w:rFonts w:ascii="宋体" w:eastAsia="仿宋_GB2312" w:hAnsi="宋体"/>
          <w:sz w:val="32"/>
          <w:szCs w:val="32"/>
        </w:rPr>
      </w:pPr>
      <w:bookmarkStart w:id="15" w:name="_Toc67532143"/>
      <w:r>
        <w:rPr>
          <w:rStyle w:val="22Char"/>
          <w:rFonts w:ascii="宋体" w:eastAsia="楷体_GB2312" w:hAnsi="宋体" w:hint="eastAsia"/>
          <w:b w:val="0"/>
        </w:rPr>
        <w:t>（十二）强化竞争政策基础地位</w:t>
      </w:r>
      <w:bookmarkEnd w:id="15"/>
      <w:r>
        <w:rPr>
          <w:rStyle w:val="22Char"/>
          <w:rFonts w:ascii="宋体" w:eastAsia="楷体_GB2312" w:hAnsi="宋体" w:hint="eastAsia"/>
          <w:b w:val="0"/>
        </w:rPr>
        <w:t>。</w:t>
      </w:r>
      <w:r>
        <w:rPr>
          <w:rFonts w:ascii="宋体" w:eastAsia="仿宋_GB2312" w:cs="宋体" w:hAnsi="宋体" w:hint="eastAsia"/>
          <w:kern w:val="0"/>
          <w:sz w:val="32"/>
          <w:szCs w:val="32"/>
        </w:rPr>
        <w:t>建立健全公平竞争制度，构建覆盖事前、事中、事后全环节的竞争政策实施机制，强化公平竞争审查制度的刚性约束，建立较为完备的公平竞争制度和政策体系、竞争政策与产业政策相对有效的协调机制，建立公平竞争第三方评估机制，强化竞争倡导，逐步提升竞争政策的知晓度。</w:t>
      </w:r>
      <w:r>
        <w:rPr>
          <w:rFonts w:ascii="宋体" w:eastAsia="仿宋_GB2312" w:hAnsi="宋体" w:hint="eastAsia"/>
          <w:sz w:val="32"/>
          <w:szCs w:val="32"/>
        </w:rPr>
        <w:t>加强和优化反垄断执法，打破行政性垄断，防止市场垄断</w:t>
      </w:r>
      <w:r>
        <w:rPr>
          <w:rFonts w:ascii="宋体" w:eastAsia="仿宋_GB2312" w:cs="宋体" w:hAnsi="宋体" w:hint="eastAsia"/>
          <w:kern w:val="0"/>
          <w:sz w:val="32"/>
          <w:szCs w:val="32"/>
        </w:rPr>
        <w:t>和资本无序扩张</w:t>
      </w:r>
      <w:r>
        <w:rPr>
          <w:rFonts w:ascii="宋体" w:eastAsia="仿宋_GB2312" w:hAnsi="宋体" w:hint="eastAsia"/>
          <w:sz w:val="32"/>
          <w:szCs w:val="32"/>
        </w:rPr>
        <w:t>，强化反不正当竞争执法，加强重点商品市场价格监管，严厉查处违规收费行为，维护公平竞争市场秩序，保护经营者和消费者合法权益。</w:t>
      </w:r>
    </w:p>
    <w:p>
      <w:pPr>
        <w:overflowPunct w:val="0"/>
        <w:spacing w:line="579" w:lineRule="exact"/>
        <w:ind w:firstLineChars="200" w:firstLine="640"/>
        <w:textAlignment w:val="baseline"/>
        <w:rPr>
          <w:rFonts w:ascii="宋体" w:eastAsia="仿宋_GB2312" w:cs="宋体" w:hAnsi="宋体"/>
          <w:kern w:val="0"/>
          <w:sz w:val="32"/>
          <w:szCs w:val="32"/>
        </w:rPr>
      </w:pPr>
      <w:bookmarkStart w:id="16" w:name="_Toc67532144"/>
      <w:r>
        <w:rPr>
          <w:rStyle w:val="22Char"/>
          <w:rFonts w:ascii="宋体" w:eastAsia="楷体_GB2312" w:hAnsi="宋体" w:hint="eastAsia"/>
          <w:b w:val="0"/>
        </w:rPr>
        <w:t>（十三）完善以信用监管为基础的市场监管机制</w:t>
      </w:r>
      <w:bookmarkEnd w:id="16"/>
      <w:r>
        <w:rPr>
          <w:rStyle w:val="22Char"/>
          <w:rFonts w:ascii="宋体" w:eastAsia="楷体_GB2312" w:hAnsi="宋体" w:hint="eastAsia"/>
          <w:b w:val="0"/>
        </w:rPr>
        <w:t>。</w:t>
      </w:r>
      <w:r>
        <w:rPr>
          <w:rFonts w:ascii="宋体" w:eastAsia="仿宋_GB2312" w:cs="宋体" w:hAnsi="宋体" w:hint="eastAsia"/>
          <w:kern w:val="0"/>
          <w:sz w:val="32"/>
          <w:szCs w:val="32"/>
        </w:rPr>
        <w:t>增强企业年报公示、信息抽查、异常经营名录等制度的可操作性。深化市场监管领域“双随机、一公开”监管体制，持续强化企业信息归集公示，健全失信惩戒机制，完善商事信用修复制度，建立健全</w:t>
      </w:r>
      <w:r>
        <w:rPr>
          <w:rFonts w:ascii="宋体" w:eastAsia="仿宋_GB2312" w:cs="宋体" w:hAnsi="宋体" w:hint="eastAsia"/>
          <w:spacing w:val="-6"/>
          <w:kern w:val="0"/>
          <w:sz w:val="32"/>
          <w:szCs w:val="32"/>
        </w:rPr>
        <w:t>企业信用分类监管和包容审慎监管长效机制。建立“三项清单”</w:t>
      </w:r>
      <w:r>
        <w:rPr>
          <w:rFonts w:ascii="宋体" w:eastAsia="仿宋_GB2312" w:cs="宋体" w:hAnsi="宋体" w:hint="eastAsia"/>
          <w:spacing w:val="-6"/>
          <w:kern w:val="0"/>
          <w:sz w:val="32"/>
          <w:szCs w:val="32"/>
          <w:vertAlign w:val="superscript"/>
        </w:rPr>
        <w:t>[</w:t>
      </w:r>
      <w:r>
        <w:rPr>
          <w:rFonts w:ascii="宋体" w:eastAsia="仿宋_GB2312" w:cs="宋体" w:hAnsi="宋体"/>
          <w:spacing w:val="-6"/>
          <w:kern w:val="0"/>
          <w:sz w:val="32"/>
          <w:szCs w:val="32"/>
          <w:vertAlign w:val="superscript"/>
        </w:rPr>
        <w:t>10]</w:t>
      </w:r>
      <w:r>
        <w:rPr>
          <w:rFonts w:ascii="宋体" w:eastAsia="仿宋_GB2312" w:cs="宋体" w:hAnsi="宋体" w:hint="eastAsia"/>
          <w:kern w:val="0"/>
          <w:sz w:val="32"/>
          <w:szCs w:val="32"/>
        </w:rPr>
        <w:t>，防范“四种风险”</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11]</w:t>
      </w:r>
      <w:r>
        <w:rPr>
          <w:rFonts w:ascii="宋体" w:eastAsia="仿宋_GB2312" w:cs="宋体" w:hAnsi="宋体" w:hint="eastAsia"/>
          <w:kern w:val="0"/>
          <w:sz w:val="32"/>
          <w:szCs w:val="32"/>
        </w:rPr>
        <w:t>，实施“五类监管”</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12]</w:t>
      </w:r>
      <w:r>
        <w:rPr>
          <w:rFonts w:ascii="宋体" w:eastAsia="仿宋_GB2312" w:cs="宋体" w:hAnsi="宋体" w:hint="eastAsia"/>
          <w:kern w:val="0"/>
          <w:sz w:val="32"/>
          <w:szCs w:val="32"/>
        </w:rPr>
        <w:t>，提升监管执法规范性和透明度，减少人为干预，压缩自由裁量空间，使监管既“无事不扰”，又“无处不在”。依法对投资经营活动的全生命周期实施有效监管，对新技术、新产业、新业态、新模式实行包容适度监管，对高风险行业和领域实行重点审慎监管。促进信用监管与“双随机”抽查的统筹运用，加强信用信息深度开发利用，切实用市场力量约束企业违法行为。</w:t>
      </w:r>
    </w:p>
    <w:p>
      <w:pPr>
        <w:spacing w:line="579" w:lineRule="exact"/>
        <w:ind w:firstLineChars="200" w:firstLine="640"/>
        <w:textAlignment w:val="baseline"/>
        <w:rPr>
          <w:rFonts w:ascii="宋体" w:eastAsia="仿宋_GB2312" w:cs="宋体" w:hAnsi="宋体"/>
          <w:kern w:val="0"/>
          <w:sz w:val="32"/>
          <w:szCs w:val="32"/>
        </w:rPr>
      </w:pPr>
      <w:bookmarkStart w:id="17" w:name="_Toc67532145"/>
      <w:r>
        <w:rPr>
          <w:rStyle w:val="22Char"/>
          <w:rFonts w:ascii="宋体" w:eastAsia="楷体_GB2312" w:hAnsi="宋体" w:hint="eastAsia"/>
          <w:b w:val="0"/>
        </w:rPr>
        <w:t>（十四）完善社会共治</w:t>
      </w:r>
      <w:bookmarkEnd w:id="17"/>
      <w:r>
        <w:rPr>
          <w:rStyle w:val="22Char"/>
          <w:rFonts w:ascii="宋体" w:eastAsia="楷体_GB2312" w:hAnsi="宋体" w:hint="eastAsia"/>
          <w:b w:val="0"/>
        </w:rPr>
        <w:t>。</w:t>
      </w:r>
      <w:r>
        <w:rPr>
          <w:rFonts w:ascii="宋体" w:eastAsia="仿宋_GB2312" w:cs="宋体" w:hAnsi="宋体" w:hint="eastAsia"/>
          <w:kern w:val="0"/>
          <w:sz w:val="32"/>
          <w:szCs w:val="32"/>
        </w:rPr>
        <w:t>便捷社会参与，监管程序向社会公众公开，坚持一致性思维，构建横向共治和纵向共治相结合的社会共治。促进有关行业协会、商会和中介机构改革，赋予行业组织更大自主权，发挥其在市场秩序维护、标准制定实施、行业纠纷调处中的重要作用。强化普法宣传、科普宣传和信息公开，提高公众参与社会共治的意识，畅通媒体和社会公众参与社会共治的渠道，建立群众信访、投诉、举报、舆情分析研判机制，营造良好的社会共治环境。</w:t>
      </w:r>
    </w:p>
    <w:p>
      <w:pPr>
        <w:spacing w:line="579" w:lineRule="exact"/>
        <w:ind w:firstLineChars="200" w:firstLine="640"/>
        <w:textAlignment w:val="baseline"/>
        <w:rPr>
          <w:rFonts w:ascii="宋体" w:eastAsia="仿宋_GB2312" w:cs="宋体" w:hAnsi="宋体"/>
          <w:kern w:val="0"/>
          <w:sz w:val="32"/>
          <w:szCs w:val="32"/>
        </w:rPr>
      </w:pPr>
    </w:p>
    <w:tbl>
      <w:tblPr>
        <w:jc w:val="cente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73"/>
      </w:tblGrid>
      <w:tr>
        <w:trPr>
          <w:trHeight w:val="535"/>
        </w:trPr>
        <w:tc>
          <w:tcPr>
            <w:tcW w:w="8773" w:type="dxa"/>
            <w:vAlign w:val="center"/>
          </w:tcPr>
          <w:p>
            <w:pPr>
              <w:jc w:val="center"/>
              <w:textAlignment w:val="baseline"/>
              <w:rPr>
                <w:rFonts w:ascii="宋体" w:eastAsia="楷体_GB2312" w:cs="宋体" w:hAnsi="宋体"/>
                <w:kern w:val="0"/>
                <w:sz w:val="32"/>
                <w:szCs w:val="32"/>
              </w:rPr>
            </w:pPr>
            <w:r>
              <w:rPr>
                <w:rFonts w:ascii="宋体" w:eastAsia="楷体_GB2312" w:hAnsi="宋体" w:hint="eastAsia"/>
                <w:bCs/>
                <w:sz w:val="28"/>
                <w:szCs w:val="24"/>
              </w:rPr>
              <w:t xml:space="preserve">专栏4 </w:t>
            </w:r>
            <w:r>
              <w:rPr>
                <w:rFonts w:ascii="宋体" w:eastAsia="楷体_GB2312" w:hAnsi="宋体"/>
                <w:bCs/>
                <w:sz w:val="28"/>
                <w:szCs w:val="24"/>
              </w:rPr>
              <w:t xml:space="preserve"> </w:t>
            </w:r>
            <w:r>
              <w:rPr>
                <w:rFonts w:ascii="宋体" w:eastAsia="楷体_GB2312" w:hAnsi="宋体" w:hint="eastAsia"/>
                <w:bCs/>
                <w:sz w:val="28"/>
                <w:szCs w:val="24"/>
              </w:rPr>
              <w:t>药品安全知识普及项目</w:t>
            </w:r>
          </w:p>
        </w:tc>
      </w:tr>
      <w:tr>
        <w:trPr>
          <w:trHeight w:val="2805"/>
        </w:trPr>
        <w:tc>
          <w:tcPr>
            <w:tcW w:w="8773" w:type="dxa"/>
            <w:vAlign w:val="center"/>
          </w:tcPr>
          <w:p>
            <w:pPr>
              <w:pStyle w:val="33"/>
              <w:spacing w:line="40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继续坚持药品安全信息“四公开”</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13]</w:t>
            </w:r>
            <w:r>
              <w:rPr>
                <w:rFonts w:ascii="宋体" w:eastAsia="仿宋_GB2312" w:cs="宋体" w:hAnsi="宋体" w:hint="eastAsia"/>
                <w:kern w:val="0"/>
                <w:sz w:val="28"/>
                <w:szCs w:val="28"/>
              </w:rPr>
              <w:t>。按规定发布药品安全信息，及时回应社会关切。制定完善药品安全新闻宣传管理办法等配套文件，实施药品安全科普宣传项目。继续利用好学习强国、官网、微信公众号、微博等各类宣传平台，扎实做好年度“安全用药月”等宣传活动。加强疫苗、药品、医疗器械、化妆品等法律法规的宣传解读，使广大群众积极参与到药品安全治理，营造良好的药品安全社会共治环境。</w:t>
            </w:r>
          </w:p>
        </w:tc>
      </w:tr>
    </w:tbl>
    <w:p>
      <w:pPr>
        <w:spacing w:line="579" w:lineRule="exact"/>
        <w:ind w:firstLineChars="200" w:firstLine="640"/>
        <w:textAlignment w:val="baseline"/>
        <w:rPr>
          <w:rStyle w:val="22Char"/>
          <w:rFonts w:ascii="宋体" w:hAnsi="宋体"/>
          <w:b w:val="0"/>
        </w:rPr>
      </w:pPr>
      <w:bookmarkStart w:id="18" w:name="_Toc67532146"/>
    </w:p>
    <w:p>
      <w:pPr>
        <w:overflowPunct w:val="0"/>
        <w:spacing w:line="579" w:lineRule="exact"/>
        <w:ind w:firstLineChars="200" w:firstLine="640"/>
        <w:textAlignment w:val="baseline"/>
        <w:rPr>
          <w:rFonts w:ascii="宋体" w:eastAsia="仿宋_GB2312" w:cs="宋体" w:hAnsi="宋体"/>
          <w:kern w:val="0"/>
          <w:sz w:val="32"/>
          <w:szCs w:val="32"/>
        </w:rPr>
      </w:pPr>
      <w:r>
        <w:rPr>
          <w:rStyle w:val="22Char"/>
          <w:rFonts w:ascii="宋体" w:eastAsia="楷体_GB2312" w:hAnsi="宋体" w:hint="eastAsia"/>
          <w:b w:val="0"/>
        </w:rPr>
        <w:t>（十五）推进智慧监管</w:t>
      </w:r>
      <w:bookmarkEnd w:id="18"/>
      <w:r>
        <w:rPr>
          <w:rStyle w:val="22Char"/>
          <w:rFonts w:ascii="宋体" w:eastAsia="楷体_GB2312" w:hAnsi="宋体" w:hint="eastAsia"/>
          <w:b w:val="0"/>
        </w:rPr>
        <w:t>。</w:t>
      </w:r>
      <w:r>
        <w:rPr>
          <w:rFonts w:ascii="宋体" w:eastAsia="仿宋_GB2312" w:cs="宋体" w:hAnsi="宋体" w:hint="eastAsia"/>
          <w:kern w:val="0"/>
          <w:sz w:val="32"/>
          <w:szCs w:val="32"/>
        </w:rPr>
        <w:t>强化科技赋能，促进监管由被动向主动、由治标向治本、由事后治理向事前防范转变。以大数据、物联网、信息技术为基础，通过人工与智能的有机结合，实现监管业务与信息技术的高度融合。打造全省统一的市场监管综合业务平台，健全省市场监管局与其他政府部门的业务协同、数据互联互通，推进信息系统整合，建立大数据中心，汇聚市场监管业务全量数据。推进监管数据资源共享，提高监管效能。深度推进市场监管数字化转型，强化对产业链上下游和跨行业融合的数字化生态体系的质量管理，以全链条质量安全追溯体系推动生产者、经营者和服务提供者首负责任制。逐步构建“源头可溯、全程可控、风险可防、责任可究、绩效可评、公众可查”的智慧监管体系。构建明码标价监管服务平台，以信息化方式创新开展明码标价牌、标签监制和服务。综合运用智慧监管技术，加强网络交易监管。</w:t>
      </w:r>
    </w:p>
    <w:p>
      <w:pPr>
        <w:spacing w:line="579" w:lineRule="exact"/>
        <w:ind w:firstLineChars="200" w:firstLine="640"/>
        <w:textAlignment w:val="baseline"/>
        <w:rPr>
          <w:rFonts w:ascii="宋体" w:eastAsia="仿宋_GB2312" w:cs="宋体" w:hAnsi="宋体"/>
          <w:kern w:val="0"/>
          <w:sz w:val="32"/>
          <w:szCs w:val="32"/>
        </w:rPr>
      </w:pPr>
      <w:bookmarkStart w:id="19" w:name="_Toc67532147"/>
      <w:r>
        <w:rPr>
          <w:rStyle w:val="22Char"/>
          <w:rFonts w:ascii="宋体" w:eastAsia="楷体_GB2312" w:hAnsi="宋体" w:hint="eastAsia"/>
          <w:b w:val="0"/>
        </w:rPr>
        <w:t>（十六）试行终端产品质量安全监管</w:t>
      </w:r>
      <w:bookmarkEnd w:id="19"/>
      <w:r>
        <w:rPr>
          <w:rStyle w:val="22Char"/>
          <w:rFonts w:ascii="宋体" w:eastAsia="楷体_GB2312" w:hAnsi="宋体" w:hint="eastAsia"/>
          <w:b w:val="0"/>
        </w:rPr>
        <w:t>。</w:t>
      </w:r>
      <w:r>
        <w:rPr>
          <w:rFonts w:ascii="宋体" w:eastAsia="仿宋_GB2312" w:cs="宋体" w:hAnsi="宋体" w:hint="eastAsia"/>
          <w:kern w:val="0"/>
          <w:sz w:val="32"/>
          <w:szCs w:val="32"/>
        </w:rPr>
        <w:t>对标国际先进监管经验，把终端产品质量安全监管纳入社会性监管范畴，对一般商品，减少对准入和过程的监管，加强产品进入市场销售、消费者直接购买使用环节的监管，把好产品市场准入关。</w:t>
      </w:r>
    </w:p>
    <w:p>
      <w:pPr>
        <w:pStyle w:val="37"/>
        <w:keepNext w:val="0"/>
        <w:keepLines w:val="0"/>
        <w:widowControl w:val="0"/>
        <w:spacing w:before="100" w:beforeAutospacing="1" w:after="100" w:afterAutospacing="1" w:line="579" w:lineRule="exact"/>
        <w:textAlignment w:val="baseline"/>
        <w:outlineLvl w:val="9"/>
        <w:rPr>
          <w:rFonts w:ascii="宋体" w:hAnsi="宋体"/>
          <w:b w:val="0"/>
          <w:szCs w:val="32"/>
        </w:rPr>
      </w:pPr>
      <w:bookmarkStart w:id="20" w:name="_Toc67532148"/>
      <w:r>
        <w:rPr>
          <w:rFonts w:ascii="宋体" w:hAnsi="宋体" w:hint="eastAsia"/>
          <w:b w:val="0"/>
          <w:szCs w:val="32"/>
        </w:rPr>
        <w:t>五、坚持以人民为中心，加强安全监管</w:t>
      </w:r>
      <w:bookmarkEnd w:id="20"/>
    </w:p>
    <w:p>
      <w:pPr>
        <w:spacing w:line="579" w:lineRule="exact"/>
        <w:ind w:firstLineChars="200" w:firstLine="640"/>
        <w:textAlignment w:val="baseline"/>
        <w:rPr>
          <w:rFonts w:ascii="宋体" w:eastAsia="仿宋_GB2312" w:cs="宋体" w:hAnsi="宋体"/>
          <w:kern w:val="0"/>
          <w:sz w:val="32"/>
          <w:szCs w:val="32"/>
        </w:rPr>
      </w:pPr>
      <w:bookmarkStart w:id="21" w:name="_Toc67532149"/>
      <w:r>
        <w:rPr>
          <w:rStyle w:val="22Char"/>
          <w:rFonts w:ascii="宋体" w:eastAsia="楷体_GB2312" w:hAnsi="宋体" w:hint="eastAsia"/>
          <w:b w:val="0"/>
        </w:rPr>
        <w:t>（十七）加强食品安全监管</w:t>
      </w:r>
      <w:bookmarkEnd w:id="21"/>
      <w:r>
        <w:rPr>
          <w:rStyle w:val="22Char"/>
          <w:rFonts w:ascii="宋体" w:eastAsia="楷体_GB2312" w:hAnsi="宋体" w:hint="eastAsia"/>
          <w:b w:val="0"/>
        </w:rPr>
        <w:t>。</w:t>
      </w:r>
      <w:r>
        <w:rPr>
          <w:rFonts w:ascii="宋体" w:eastAsia="仿宋_GB2312" w:cs="宋体" w:hAnsi="宋体" w:hint="eastAsia"/>
          <w:kern w:val="0"/>
          <w:sz w:val="32"/>
          <w:szCs w:val="32"/>
        </w:rPr>
        <w:t>落实“四个最严”</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14]</w:t>
      </w:r>
      <w:r>
        <w:rPr>
          <w:rFonts w:ascii="宋体" w:eastAsia="仿宋_GB2312" w:cs="宋体" w:hAnsi="宋体" w:hint="eastAsia"/>
          <w:kern w:val="0"/>
          <w:sz w:val="32"/>
          <w:szCs w:val="32"/>
        </w:rPr>
        <w:t>要求，加强食品安全综合治理，强化食品安全委员会统筹协调作用，健全完善食品安全监管体制和制度体系，提升食品安全检验检测能力和监管效能，推动食品安全治理能力和治理体系现代化。探索建设“全健康”全过程食品安全监管体系。建立健全食品安全风险管理平台，完善风险预警、分析和防控机制，加强食品安全源头追溯、联合执法、行刑衔接、隐患排查、事故处置、打击犯罪等方面的协调联动。开展食品安全示范城市创建。建立“海南省冷链食品可信追溯平台”，实现对冷库所有产品的可信追溯和监管。充分发挥“互联网+”、大数据、区块链等现代信息技术作用，推进食品安全监管规范化、智慧化、数字化建设，逐步实现食品安全监管“机器换人”“机器助人”，提升食品</w:t>
      </w:r>
      <w:r>
        <w:rPr>
          <w:rFonts w:ascii="宋体" w:eastAsia="仿宋_GB2312" w:cs="宋体" w:hAnsi="宋体"/>
          <w:kern w:val="0"/>
          <w:sz w:val="32"/>
          <w:szCs w:val="32"/>
        </w:rPr>
        <w:t>安全</w:t>
      </w:r>
      <w:r>
        <w:rPr>
          <w:rFonts w:ascii="宋体" w:eastAsia="仿宋_GB2312" w:cs="宋体" w:hAnsi="宋体" w:hint="eastAsia"/>
          <w:kern w:val="0"/>
          <w:sz w:val="32"/>
          <w:szCs w:val="32"/>
        </w:rPr>
        <w:t>监管工作信息化水平，构建统一、高效、智能化检查、精准化监管的“互联网+信用监管”监管模式和食品安全社会共治共享体系。实施农贸市场食品安全规范化建设工程，到2025年，全省所有完成升级改造及具备条件的农贸市场全面建成食品安全规范化农贸市场。规范食品标签标识管理，改进提升食品抽检工作，加强食品快检方法研制。探索在博鳌乐城国际医疗旅游先行区实施国外已上市国内未注册的保健食品和特殊医学用途配方食品优惠政策，促进培育和发展特殊食品产业。完善食品安全事件预警监测、应急保障、信息报告工作体系。建立重大舆情和食品安全谣言快速响应机制。</w:t>
      </w:r>
    </w:p>
    <w:p>
      <w:pPr>
        <w:spacing w:line="579" w:lineRule="exact"/>
        <w:ind w:firstLineChars="200" w:firstLine="640"/>
        <w:textAlignment w:val="baseline"/>
        <w:rPr>
          <w:rFonts w:ascii="宋体" w:eastAsia="仿宋_GB2312" w:cs="宋体" w:hAnsi="宋体"/>
          <w:kern w:val="0"/>
          <w:sz w:val="32"/>
          <w:szCs w:val="32"/>
        </w:rPr>
      </w:pPr>
      <w:bookmarkStart w:id="22" w:name="_Toc67532150"/>
      <w:r>
        <w:rPr>
          <w:rStyle w:val="22Char"/>
          <w:rFonts w:ascii="宋体" w:eastAsia="楷体_GB2312" w:hAnsi="宋体" w:hint="eastAsia"/>
          <w:b w:val="0"/>
        </w:rPr>
        <w:t>（十八）加强药品安全监管</w:t>
      </w:r>
      <w:bookmarkEnd w:id="22"/>
      <w:r>
        <w:rPr>
          <w:rStyle w:val="22Char"/>
          <w:rFonts w:ascii="宋体" w:eastAsia="楷体_GB2312" w:hAnsi="宋体" w:hint="eastAsia"/>
          <w:b w:val="0"/>
        </w:rPr>
        <w:t>。</w:t>
      </w:r>
      <w:r>
        <w:rPr>
          <w:rFonts w:ascii="宋体" w:eastAsia="仿宋_GB2312" w:cs="宋体" w:hAnsi="宋体" w:hint="eastAsia"/>
          <w:kern w:val="0"/>
          <w:sz w:val="32"/>
          <w:szCs w:val="32"/>
        </w:rPr>
        <w:t>落实“四个最严”要求，强化药品安全全程监管。坚持人民至上、生命至上，推进监管创新，建立健全科学、高效、权威的药品监管体系，坚决守住药品安全底线。坚持以问题为导向，实施药品、医疗器械和化妆品定期全覆盖抽检。强化药品GMP、GSP合规性检查。推动疫苗质量管理体系建设，强化疫苗、特殊管理药品等高风险品种的日常巡查、飞行检查</w:t>
      </w:r>
      <w:r>
        <w:rPr>
          <w:rFonts w:ascii="宋体" w:eastAsia="仿宋_GB2312" w:cs="宋体" w:hAnsi="宋体" w:hint="eastAsia"/>
          <w:kern w:val="0"/>
          <w:sz w:val="32"/>
          <w:szCs w:val="32"/>
          <w:vertAlign w:val="superscript"/>
        </w:rPr>
        <w:t>[</w:t>
      </w:r>
      <w:r>
        <w:rPr>
          <w:rFonts w:ascii="宋体" w:eastAsia="仿宋_GB2312" w:cs="宋体" w:hAnsi="宋体"/>
          <w:kern w:val="0"/>
          <w:sz w:val="32"/>
          <w:szCs w:val="32"/>
          <w:vertAlign w:val="superscript"/>
        </w:rPr>
        <w:t>15]</w:t>
      </w:r>
      <w:r>
        <w:rPr>
          <w:rFonts w:ascii="宋体" w:eastAsia="仿宋_GB2312" w:cs="宋体" w:hAnsi="宋体" w:hint="eastAsia"/>
          <w:kern w:val="0"/>
          <w:sz w:val="32"/>
          <w:szCs w:val="32"/>
        </w:rPr>
        <w:t>，有效防范和化解安全风险。制定完善中药材地方标准与中药饮片炮制规范，提升中药饮片质量水平。推进实施医疗器械唯一标识试点，探索药械全生命周期监管创新。加强不良反应/不良事件监测，完善药物警戒体系。完善博鳌乐城国际医疗旅游先行区医疗和药品“二合一”监管模式，协同共治，提高监管效能，确保临床急需</w:t>
      </w:r>
      <w:r>
        <w:rPr>
          <w:rFonts w:ascii="宋体" w:eastAsia="仿宋_GB2312" w:cs="宋体" w:hAnsi="宋体"/>
          <w:kern w:val="0"/>
          <w:sz w:val="32"/>
          <w:szCs w:val="32"/>
        </w:rPr>
        <w:t>进口</w:t>
      </w:r>
      <w:r>
        <w:rPr>
          <w:rFonts w:ascii="宋体" w:eastAsia="仿宋_GB2312" w:cs="宋体" w:hAnsi="宋体" w:hint="eastAsia"/>
          <w:kern w:val="0"/>
          <w:sz w:val="32"/>
          <w:szCs w:val="32"/>
        </w:rPr>
        <w:t>药械安全。完善药品监管机构和监管队伍设置，加强职业化、专业化检查员队伍建设。加大执法力度，及时查处药品、医疗器械和化妆品违法违规行为，切实保障人民群众用药安全。</w:t>
      </w:r>
    </w:p>
    <w:p>
      <w:pPr>
        <w:spacing w:line="579" w:lineRule="exact"/>
        <w:ind w:firstLineChars="200" w:firstLine="640"/>
        <w:textAlignment w:val="baseline"/>
        <w:rPr>
          <w:rFonts w:ascii="宋体" w:eastAsia="仿宋_GB2312" w:cs="宋体" w:hAnsi="宋体"/>
          <w:kern w:val="0"/>
          <w:sz w:val="32"/>
          <w:szCs w:val="32"/>
        </w:rPr>
      </w:pPr>
    </w:p>
    <w:p>
      <w:pPr>
        <w:spacing w:line="579" w:lineRule="exact"/>
        <w:ind w:firstLineChars="200" w:firstLine="640"/>
        <w:textAlignment w:val="baseline"/>
        <w:rPr>
          <w:rFonts w:ascii="宋体" w:eastAsia="仿宋_GB2312" w:cs="宋体" w:hAnsi="宋体"/>
          <w:kern w:val="0"/>
          <w:sz w:val="32"/>
          <w:szCs w:val="32"/>
        </w:rPr>
      </w:pPr>
    </w:p>
    <w:tbl>
      <w:tblPr>
        <w:jc w:val="center"/>
        <w:tblW w:w="8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24"/>
      </w:tblGrid>
      <w:tr>
        <w:trPr>
          <w:trHeight w:val="567"/>
        </w:trPr>
        <w:tc>
          <w:tcPr>
            <w:tcW w:w="8824" w:type="dxa"/>
            <w:vAlign w:val="center"/>
          </w:tcPr>
          <w:p>
            <w:pPr>
              <w:jc w:val="center"/>
              <w:textAlignment w:val="baseline"/>
              <w:rPr>
                <w:rFonts w:ascii="宋体" w:eastAsia="楷体_GB2312" w:hAnsi="宋体"/>
                <w:bCs/>
                <w:sz w:val="28"/>
                <w:szCs w:val="24"/>
              </w:rPr>
            </w:pPr>
            <w:r>
              <w:rPr>
                <w:rFonts w:ascii="宋体" w:eastAsia="楷体_GB2312" w:hAnsi="宋体" w:hint="eastAsia"/>
                <w:bCs/>
                <w:sz w:val="28"/>
                <w:szCs w:val="24"/>
              </w:rPr>
              <w:t xml:space="preserve">专栏5 </w:t>
            </w:r>
            <w:r>
              <w:rPr>
                <w:rFonts w:ascii="宋体" w:eastAsia="楷体_GB2312" w:hAnsi="宋体"/>
                <w:bCs/>
                <w:sz w:val="28"/>
                <w:szCs w:val="24"/>
              </w:rPr>
              <w:t xml:space="preserve"> </w:t>
            </w:r>
            <w:r>
              <w:rPr>
                <w:rFonts w:ascii="宋体" w:eastAsia="楷体_GB2312" w:hAnsi="宋体" w:hint="eastAsia"/>
                <w:bCs/>
                <w:sz w:val="28"/>
                <w:szCs w:val="24"/>
              </w:rPr>
              <w:t>医疗器械唯一标识试点项目</w:t>
            </w:r>
          </w:p>
        </w:tc>
      </w:tr>
      <w:tr>
        <w:trPr>
          <w:trHeight w:val="2237"/>
        </w:trPr>
        <w:tc>
          <w:tcPr>
            <w:tcW w:w="8824" w:type="dxa"/>
            <w:vAlign w:val="center"/>
          </w:tcPr>
          <w:p>
            <w:pPr>
              <w:pStyle w:val="33"/>
              <w:spacing w:line="40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指导和督促试点单位实现医疗器械唯一标识的创建、赋予，以及数据上传下载和共享功能。探索唯一标识在医疗器械生产、经营、流通和使用等各环节的试点应用，及时总结可复制、可推广的操作规范、工作流程和示范应用，积极探索扩展应用。探索利用唯一标识实现医疗器械不良事件报告、产品召回及追踪追溯等试点应用。</w:t>
            </w:r>
          </w:p>
        </w:tc>
      </w:tr>
    </w:tbl>
    <w:p>
      <w:pPr>
        <w:spacing w:line="579" w:lineRule="exact"/>
        <w:ind w:firstLineChars="200" w:firstLine="640"/>
        <w:textAlignment w:val="baseline"/>
        <w:rPr>
          <w:rStyle w:val="22Char"/>
          <w:rFonts w:ascii="宋体" w:hAnsi="宋体"/>
          <w:b w:val="0"/>
        </w:rPr>
      </w:pPr>
    </w:p>
    <w:p>
      <w:pPr>
        <w:spacing w:line="579" w:lineRule="exact"/>
        <w:ind w:firstLineChars="200" w:firstLine="640"/>
        <w:textAlignment w:val="baseline"/>
        <w:rPr>
          <w:rFonts w:ascii="宋体" w:eastAsia="仿宋_GB2312" w:cs="宋体" w:hAnsi="宋体"/>
          <w:kern w:val="0"/>
          <w:sz w:val="32"/>
          <w:szCs w:val="32"/>
        </w:rPr>
      </w:pPr>
      <w:bookmarkStart w:id="23" w:name="_Toc67532151"/>
      <w:r>
        <w:rPr>
          <w:rStyle w:val="22Char"/>
          <w:rFonts w:ascii="宋体" w:eastAsia="楷体_GB2312" w:hAnsi="宋体" w:hint="eastAsia"/>
          <w:b w:val="0"/>
        </w:rPr>
        <w:t>（十九）加强特种设备安全监管</w:t>
      </w:r>
      <w:bookmarkEnd w:id="23"/>
      <w:r>
        <w:rPr>
          <w:rStyle w:val="22Char"/>
          <w:rFonts w:ascii="宋体" w:eastAsia="楷体_GB2312" w:hAnsi="宋体" w:hint="eastAsia"/>
          <w:b w:val="0"/>
        </w:rPr>
        <w:t>。</w:t>
      </w:r>
      <w:r>
        <w:rPr>
          <w:rFonts w:ascii="宋体" w:eastAsia="仿宋_GB2312" w:cs="宋体" w:hAnsi="宋体" w:hint="eastAsia"/>
          <w:kern w:val="0"/>
          <w:sz w:val="32"/>
          <w:szCs w:val="32"/>
        </w:rPr>
        <w:t>扎实开展安全生产“三年行动计划”专项整治，防范化解重大风险，重点对气瓶、压力容器、压力管道、客运索道、大型游乐设施及危险化学品相关特种设备等开展隐患排查治理。推动建立完善电梯、气瓶质量安全追溯体系。推进电梯维护保养模式和电梯检验检测方式改革，加强电梯安全监管，整体提升全省电梯质量安全水平。探索推行电梯“保险+服务”综合保险，引入保险机构参与电梯安全风险管理，发挥保险对电梯安全的保障作用。完善特种设备综合业务系统，推进“互联网+监管”等信息化技术在特种设备监管中的运用。</w:t>
      </w:r>
    </w:p>
    <w:p>
      <w:pPr>
        <w:spacing w:line="579" w:lineRule="exact"/>
        <w:ind w:firstLineChars="200" w:firstLine="640"/>
        <w:textAlignment w:val="baseline"/>
        <w:rPr>
          <w:rFonts w:ascii="宋体" w:eastAsia="仿宋_GB2312" w:cs="宋体" w:hAnsi="宋体"/>
          <w:kern w:val="0"/>
          <w:sz w:val="32"/>
          <w:szCs w:val="32"/>
        </w:rPr>
      </w:pPr>
      <w:bookmarkStart w:id="24" w:name="_Toc67532152"/>
      <w:r>
        <w:rPr>
          <w:rStyle w:val="22Char"/>
          <w:rFonts w:ascii="宋体" w:eastAsia="楷体_GB2312" w:hAnsi="宋体" w:hint="eastAsia"/>
          <w:b w:val="0"/>
        </w:rPr>
        <w:t>（二十）加强产品质量安全监管</w:t>
      </w:r>
      <w:bookmarkEnd w:id="24"/>
      <w:r>
        <w:rPr>
          <w:rStyle w:val="22Char"/>
          <w:rFonts w:ascii="宋体" w:eastAsia="楷体_GB2312" w:hAnsi="宋体" w:hint="eastAsia"/>
          <w:b w:val="0"/>
        </w:rPr>
        <w:t>。</w:t>
      </w:r>
      <w:r>
        <w:rPr>
          <w:rFonts w:ascii="宋体" w:eastAsia="仿宋_GB2312" w:cs="宋体" w:hAnsi="宋体" w:hint="eastAsia"/>
          <w:kern w:val="0"/>
          <w:sz w:val="32"/>
          <w:szCs w:val="32"/>
        </w:rPr>
        <w:t>扩大生产及流通领域产品质量省级监督抽查覆盖面，完善风险监测预警体系基础建设，推动海南自由贸易港产品质量监管体系上台阶。依托中国电子质量监督（e-CQS）项目，积极推进省级监督抽查信息数据库建设。压实企业质量安全主体责任，确保产品质量安全监管工作落地落实。持续强化危险化学品、电线电缆、水泥、建筑用钢筋、化肥、食品相关产品等产品的重点监管。创新质量宏观管理体制机制，强化高质量发展措施，深入开展质量提升行动,加强缺陷消费品召回，开展服务质量监督监测，提升高质量发展保障能力。</w:t>
      </w:r>
    </w:p>
    <w:p>
      <w:pPr>
        <w:pStyle w:val="37"/>
        <w:keepNext w:val="0"/>
        <w:keepLines w:val="0"/>
        <w:widowControl w:val="0"/>
        <w:spacing w:before="100" w:beforeAutospacing="1" w:after="100" w:afterAutospacing="1" w:line="579" w:lineRule="exact"/>
        <w:textAlignment w:val="baseline"/>
        <w:outlineLvl w:val="9"/>
        <w:rPr>
          <w:rFonts w:ascii="宋体" w:hAnsi="宋体"/>
          <w:b w:val="0"/>
          <w:szCs w:val="32"/>
        </w:rPr>
      </w:pPr>
      <w:bookmarkStart w:id="25" w:name="_Toc67532153"/>
      <w:r>
        <w:rPr>
          <w:rFonts w:ascii="宋体" w:hAnsi="宋体" w:hint="eastAsia"/>
          <w:b w:val="0"/>
          <w:szCs w:val="32"/>
        </w:rPr>
        <w:t>六、加强知识产权保护，促进创新发展</w:t>
      </w:r>
      <w:bookmarkEnd w:id="25"/>
    </w:p>
    <w:p>
      <w:pPr>
        <w:spacing w:line="579" w:lineRule="exact"/>
        <w:ind w:firstLineChars="200" w:firstLine="640"/>
        <w:textAlignment w:val="baseline"/>
        <w:rPr>
          <w:rFonts w:ascii="宋体" w:eastAsia="仿宋_GB2312" w:cs="宋体" w:hAnsi="宋体"/>
          <w:kern w:val="0"/>
          <w:sz w:val="32"/>
          <w:szCs w:val="32"/>
        </w:rPr>
      </w:pPr>
      <w:r>
        <w:rPr>
          <w:rStyle w:val="22Char"/>
          <w:rFonts w:ascii="宋体" w:eastAsia="楷体_GB2312" w:hAnsi="宋体" w:hint="eastAsia"/>
          <w:b w:val="0"/>
        </w:rPr>
        <w:t>（二十一）严格知识产权保护。</w:t>
      </w:r>
      <w:r>
        <w:rPr>
          <w:rFonts w:ascii="宋体" w:eastAsia="仿宋_GB2312" w:cs="仿宋_GB2312" w:hAnsi="宋体" w:hint="eastAsia"/>
          <w:sz w:val="32"/>
          <w:szCs w:val="32"/>
        </w:rPr>
        <w:t>落实《中共中央办公厅 国务院办公厅关于强化知识产权保护的意见》及我省实施意见。制定海南自由贸易港知识产权保护条例</w:t>
      </w:r>
      <w:r>
        <w:rPr>
          <w:rFonts w:ascii="宋体" w:eastAsia="仿宋_GB2312" w:cs="仿宋_GB2312" w:hAnsi="宋体" w:hint="eastAsia"/>
          <w:kern w:val="0"/>
          <w:sz w:val="32"/>
          <w:szCs w:val="32"/>
        </w:rPr>
        <w:t>，加大知识产权保护力度，探索施行新业态、新领域保护规则，提升保护标准。</w:t>
      </w:r>
      <w:r>
        <w:rPr>
          <w:rFonts w:ascii="宋体" w:eastAsia="仿宋_GB2312" w:cs="仿宋_GB2312" w:hAnsi="宋体" w:hint="eastAsia"/>
          <w:sz w:val="32"/>
          <w:szCs w:val="32"/>
        </w:rPr>
        <w:t>完善行政执法和司法衔接，健全侵权纠纷行政裁决制度，做好诉调对接，</w:t>
      </w:r>
      <w:r>
        <w:rPr>
          <w:rFonts w:ascii="宋体" w:eastAsia="仿宋_GB2312" w:cs="仿宋_GB2312" w:hAnsi="宋体" w:hint="eastAsia"/>
          <w:kern w:val="0"/>
          <w:sz w:val="32"/>
          <w:szCs w:val="32"/>
        </w:rPr>
        <w:t>建立快速维权保护工作机制</w:t>
      </w:r>
      <w:r>
        <w:rPr>
          <w:rFonts w:ascii="宋体" w:eastAsia="仿宋_GB2312" w:cs="仿宋_GB2312" w:hAnsi="宋体"/>
          <w:kern w:val="0"/>
          <w:sz w:val="32"/>
          <w:szCs w:val="32"/>
        </w:rPr>
        <w:t>。</w:t>
      </w:r>
      <w:r>
        <w:rPr>
          <w:rFonts w:ascii="宋体" w:eastAsia="仿宋_GB2312" w:cs="仿宋_GB2312" w:hAnsi="宋体" w:hint="eastAsia"/>
          <w:sz w:val="32"/>
          <w:szCs w:val="32"/>
        </w:rPr>
        <w:t>深入推进以信用为基础的分级分类监管</w:t>
      </w:r>
      <w:r>
        <w:rPr>
          <w:rFonts w:ascii="宋体" w:eastAsia="仿宋_GB2312" w:cs="仿宋_GB2312" w:hAnsi="宋体"/>
          <w:sz w:val="32"/>
          <w:szCs w:val="32"/>
        </w:rPr>
        <w:t>。</w:t>
      </w:r>
      <w:r>
        <w:rPr>
          <w:rFonts w:ascii="宋体" w:eastAsia="仿宋_GB2312" w:cs="仿宋_GB2312" w:hAnsi="宋体" w:hint="eastAsia"/>
          <w:sz w:val="32"/>
          <w:szCs w:val="32"/>
        </w:rPr>
        <w:t>加强知识产权保护规范化市场建设。创新设立一体化知识产权保护机制，建设综合性知识产权保护和服务中心，推动海口、三亚知识产权保护中心建设。以三亚崖州湾科技城作为试点</w:t>
      </w:r>
      <w:r>
        <w:rPr>
          <w:rFonts w:ascii="宋体" w:eastAsia="仿宋_GB2312" w:cs="仿宋_GB2312" w:hAnsi="宋体" w:hint="eastAsia"/>
          <w:kern w:val="0"/>
          <w:sz w:val="32"/>
          <w:szCs w:val="32"/>
        </w:rPr>
        <w:t>区域，对接国际通行规则和最高标准，探索建设崖州湾知识产权特区。做</w:t>
      </w:r>
      <w:r>
        <w:rPr>
          <w:rFonts w:ascii="宋体" w:eastAsia="仿宋_GB2312" w:cs="仿宋_GB2312" w:hAnsi="宋体" w:hint="eastAsia"/>
          <w:sz w:val="32"/>
          <w:szCs w:val="32"/>
        </w:rPr>
        <w:t>好中国国际消费品博览会等展会知识产权保护服务，加强重点商标保护名录管理</w:t>
      </w:r>
      <w:r>
        <w:rPr>
          <w:rFonts w:ascii="宋体" w:eastAsia="仿宋_GB2312" w:cs="仿宋_GB2312" w:hAnsi="宋体" w:hint="eastAsia"/>
          <w:kern w:val="0"/>
          <w:sz w:val="32"/>
          <w:szCs w:val="32"/>
        </w:rPr>
        <w:t>。</w:t>
      </w:r>
    </w:p>
    <w:p>
      <w:pPr>
        <w:spacing w:line="579" w:lineRule="exact"/>
        <w:ind w:firstLineChars="200" w:firstLine="640"/>
        <w:textAlignment w:val="baseline"/>
        <w:rPr>
          <w:rFonts w:ascii="宋体" w:eastAsia="仿宋_GB2312" w:cs="宋体" w:hAnsi="宋体"/>
          <w:kern w:val="0"/>
          <w:sz w:val="32"/>
          <w:szCs w:val="32"/>
        </w:rPr>
      </w:pPr>
      <w:r>
        <w:rPr>
          <w:rFonts w:ascii="宋体" w:eastAsia="楷体_GB2312" w:cs="宋体" w:hAnsi="宋体" w:hint="eastAsia"/>
          <w:sz w:val="32"/>
          <w:szCs w:val="32"/>
        </w:rPr>
        <w:t>（二十</w:t>
      </w:r>
      <w:r>
        <w:rPr>
          <w:rFonts w:ascii="宋体" w:eastAsia="楷体_GB2312" w:cs="宋体" w:hAnsi="宋体"/>
          <w:sz w:val="32"/>
          <w:szCs w:val="32"/>
        </w:rPr>
        <w:t>二</w:t>
      </w:r>
      <w:r>
        <w:rPr>
          <w:rFonts w:ascii="宋体" w:eastAsia="楷体_GB2312" w:cs="宋体" w:hAnsi="宋体" w:hint="eastAsia"/>
          <w:sz w:val="32"/>
          <w:szCs w:val="32"/>
        </w:rPr>
        <w:t>）</w:t>
      </w:r>
      <w:r>
        <w:rPr>
          <w:rStyle w:val="22Char"/>
          <w:rFonts w:ascii="宋体" w:eastAsia="楷体_GB2312" w:hAnsi="宋体" w:hint="eastAsia"/>
          <w:b w:val="0"/>
        </w:rPr>
        <w:t>加强知识产权创造和运用。</w:t>
      </w:r>
      <w:r>
        <w:rPr>
          <w:rFonts w:ascii="宋体" w:eastAsia="仿宋_GB2312" w:cs="仿宋_GB2312" w:hAnsi="宋体" w:hint="eastAsia"/>
          <w:kern w:val="0"/>
          <w:sz w:val="32"/>
          <w:szCs w:val="32"/>
        </w:rPr>
        <w:t>在生物医药、热带特色高效农业、低碳制造业等产业领域开展高价值知识产权培育。支持产业知识产权联盟建设。实施企业知识产</w:t>
      </w:r>
      <w:r>
        <w:rPr>
          <w:rFonts w:ascii="宋体" w:eastAsia="仿宋_GB2312" w:cs="宋体" w:hAnsi="宋体" w:hint="eastAsia"/>
          <w:sz w:val="32"/>
          <w:szCs w:val="32"/>
        </w:rPr>
        <w:t>权量质提升工程，促进企业知识产权拥有量和质量明显提升。持续推进高等院校和科研机构职务发明专利权属改革。深化知识产权金融服务，建立完善知识产权质押融资扶持、风险补偿及担保机制。设立知识产权运营基金，</w:t>
      </w:r>
      <w:r>
        <w:rPr>
          <w:rFonts w:ascii="宋体" w:eastAsia="仿宋_GB2312" w:cs="仿宋_GB2312" w:hAnsi="宋体" w:hint="eastAsia"/>
          <w:sz w:val="32"/>
          <w:szCs w:val="32"/>
        </w:rPr>
        <w:t>创新产业知识产权运营商业模式。探索知识产权保险，</w:t>
      </w:r>
      <w:r>
        <w:rPr>
          <w:rFonts w:ascii="宋体" w:eastAsia="仿宋_GB2312" w:cs="宋体" w:hAnsi="宋体" w:hint="eastAsia"/>
          <w:sz w:val="32"/>
          <w:szCs w:val="32"/>
        </w:rPr>
        <w:t>开展专利保险补贴试点。规范探索知识产权证券化。推动区块链技术在知识产权交易、存证方面应用。推进海南国际知识产权交易所建设，在知识产权转让、运用等方面开展制度创新。</w:t>
      </w:r>
      <w:r>
        <w:rPr>
          <w:rFonts w:ascii="宋体" w:eastAsia="仿宋_GB2312" w:cs="宋体" w:hAnsi="宋体" w:hint="eastAsia"/>
          <w:kern w:val="0"/>
          <w:sz w:val="32"/>
          <w:szCs w:val="32"/>
        </w:rPr>
        <w:t>推进商标品牌战略，注册一批我省独有自然资源、人文文化、体育赛事、重大展会等特色商标。实施地理标志运用促进工程，挖掘一批地理标志产品。盘活地理标志存量资源，打造一批最能体现地理标志品牌价值的产品，推动特色产品向产业集群化发展，探索实践“地理标志</w:t>
      </w:r>
      <w:r>
        <w:rPr>
          <w:rFonts w:ascii="宋体" w:eastAsia="仿宋_GB2312" w:cs="宋体" w:hAnsi="宋体"/>
          <w:kern w:val="0"/>
          <w:sz w:val="32"/>
          <w:szCs w:val="32"/>
        </w:rPr>
        <w:t>+</w:t>
      </w:r>
      <w:r>
        <w:rPr>
          <w:rFonts w:ascii="宋体" w:eastAsia="仿宋_GB2312" w:cs="宋体" w:hAnsi="宋体" w:hint="eastAsia"/>
          <w:kern w:val="0"/>
          <w:sz w:val="32"/>
          <w:szCs w:val="32"/>
        </w:rPr>
        <w:t>品牌</w:t>
      </w:r>
      <w:r>
        <w:rPr>
          <w:rFonts w:ascii="宋体" w:eastAsia="仿宋_GB2312" w:cs="宋体" w:hAnsi="宋体"/>
          <w:kern w:val="0"/>
          <w:sz w:val="32"/>
          <w:szCs w:val="32"/>
        </w:rPr>
        <w:t>+</w:t>
      </w:r>
      <w:r>
        <w:rPr>
          <w:rFonts w:ascii="宋体" w:eastAsia="仿宋_GB2312" w:cs="宋体" w:hAnsi="宋体" w:hint="eastAsia"/>
          <w:kern w:val="0"/>
          <w:sz w:val="32"/>
          <w:szCs w:val="32"/>
        </w:rPr>
        <w:t>品质</w:t>
      </w:r>
      <w:r>
        <w:rPr>
          <w:rFonts w:ascii="宋体" w:eastAsia="仿宋_GB2312" w:cs="宋体" w:hAnsi="宋体"/>
          <w:kern w:val="0"/>
          <w:sz w:val="32"/>
          <w:szCs w:val="32"/>
        </w:rPr>
        <w:t>+</w:t>
      </w:r>
      <w:r>
        <w:rPr>
          <w:rFonts w:ascii="宋体" w:eastAsia="仿宋_GB2312" w:cs="宋体" w:hAnsi="宋体" w:hint="eastAsia"/>
          <w:kern w:val="0"/>
          <w:sz w:val="32"/>
          <w:szCs w:val="32"/>
        </w:rPr>
        <w:t>标准</w:t>
      </w:r>
      <w:r>
        <w:rPr>
          <w:rFonts w:ascii="宋体" w:eastAsia="仿宋_GB2312" w:cs="宋体" w:hAnsi="宋体"/>
          <w:kern w:val="0"/>
          <w:sz w:val="32"/>
          <w:szCs w:val="32"/>
        </w:rPr>
        <w:t>+</w:t>
      </w:r>
      <w:r>
        <w:rPr>
          <w:rFonts w:ascii="宋体" w:eastAsia="仿宋_GB2312" w:cs="宋体" w:hAnsi="宋体" w:hint="eastAsia"/>
          <w:kern w:val="0"/>
          <w:sz w:val="32"/>
          <w:szCs w:val="32"/>
        </w:rPr>
        <w:t>产业</w:t>
      </w:r>
      <w:r>
        <w:rPr>
          <w:rFonts w:ascii="宋体" w:eastAsia="仿宋_GB2312" w:cs="宋体" w:hAnsi="宋体"/>
          <w:kern w:val="0"/>
          <w:sz w:val="32"/>
          <w:szCs w:val="32"/>
        </w:rPr>
        <w:t>+</w:t>
      </w:r>
      <w:r>
        <w:rPr>
          <w:rFonts w:ascii="宋体" w:eastAsia="仿宋_GB2312" w:cs="宋体" w:hAnsi="宋体" w:hint="eastAsia"/>
          <w:kern w:val="0"/>
          <w:sz w:val="32"/>
          <w:szCs w:val="32"/>
        </w:rPr>
        <w:t>文化”的发展路径。持续推进地理标志专用标志使用核准改革，进一步擦亮地理标志品牌，发挥地理标志品牌效应，提升地理标志产品附加值。</w:t>
      </w:r>
    </w:p>
    <w:p>
      <w:pPr>
        <w:spacing w:line="579" w:lineRule="exact"/>
        <w:ind w:firstLineChars="200" w:firstLine="640"/>
        <w:textAlignment w:val="baseline"/>
        <w:rPr>
          <w:rFonts w:ascii="宋体" w:eastAsia="仿宋_GB2312" w:cs="宋体" w:hAnsi="宋体"/>
          <w:kern w:val="0"/>
          <w:sz w:val="32"/>
          <w:szCs w:val="32"/>
        </w:rPr>
      </w:pPr>
    </w:p>
    <w:tbl>
      <w:tblPr>
        <w:jc w:val="left"/>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trPr>
          <w:trHeight w:val="685"/>
        </w:trPr>
        <w:tc>
          <w:tcPr>
            <w:tcW w:w="9060" w:type="dxa"/>
            <w:vAlign w:val="center"/>
          </w:tcPr>
          <w:p>
            <w:pPr>
              <w:jc w:val="center"/>
              <w:textAlignment w:val="baseline"/>
              <w:rPr>
                <w:rFonts w:ascii="宋体" w:eastAsia="楷体_GB2312" w:cs="仿宋" w:hAnsi="宋体"/>
                <w:bCs/>
                <w:sz w:val="28"/>
                <w:szCs w:val="24"/>
              </w:rPr>
            </w:pPr>
            <w:r>
              <w:rPr>
                <w:rFonts w:ascii="宋体" w:eastAsia="楷体_GB2312" w:hAnsi="宋体" w:hint="eastAsia"/>
                <w:sz w:val="28"/>
                <w:szCs w:val="24"/>
              </w:rPr>
              <w:t>专栏</w:t>
            </w:r>
            <w:r>
              <w:rPr>
                <w:rFonts w:ascii="宋体" w:eastAsia="楷体_GB2312" w:hAnsi="宋体"/>
                <w:sz w:val="28"/>
                <w:szCs w:val="24"/>
              </w:rPr>
              <w:t xml:space="preserve">6  </w:t>
            </w:r>
            <w:r>
              <w:rPr>
                <w:rFonts w:ascii="宋体" w:eastAsia="楷体_GB2312" w:hAnsi="宋体" w:hint="eastAsia"/>
                <w:sz w:val="28"/>
                <w:szCs w:val="24"/>
              </w:rPr>
              <w:t>海南省重点商标保护名录保障平台工程</w:t>
            </w:r>
          </w:p>
        </w:tc>
      </w:tr>
      <w:tr>
        <w:trPr>
          <w:trHeight w:val="3967"/>
        </w:trPr>
        <w:tc>
          <w:tcPr>
            <w:tcW w:w="9060" w:type="dxa"/>
            <w:vAlign w:val="center"/>
          </w:tcPr>
          <w:p>
            <w:pPr>
              <w:spacing w:line="400" w:lineRule="exact"/>
              <w:ind w:firstLineChars="200" w:firstLine="560"/>
              <w:textAlignment w:val="baseline"/>
              <w:rPr>
                <w:rFonts w:ascii="宋体" w:eastAsia="仿宋_GB2312" w:cs="宋体" w:hAnsi="宋体"/>
                <w:kern w:val="0"/>
                <w:sz w:val="28"/>
                <w:szCs w:val="28"/>
              </w:rPr>
            </w:pPr>
            <w:r>
              <w:rPr>
                <w:rFonts w:ascii="宋体" w:eastAsia="仿宋_GB2312" w:cs="宋体" w:hAnsi="宋体" w:hint="eastAsia"/>
                <w:kern w:val="0"/>
                <w:sz w:val="28"/>
                <w:szCs w:val="28"/>
              </w:rPr>
              <w:t>有效解决商标执法办案中线索发现难、执法力量不足等客观性问题，针对我省商标侵权问题相对突出的重点商品、重点行业和重点领域，将在我省区域内市场主体经营活动中形成较高知名度、具有一定市场影响力、容易被假冒侵权、确需加强重点保护的商标实行名录管理，建设省重点商标保护名录保障平台。</w:t>
            </w:r>
          </w:p>
          <w:p>
            <w:pPr>
              <w:spacing w:line="400" w:lineRule="exact"/>
              <w:ind w:firstLineChars="200" w:firstLine="560"/>
              <w:textAlignment w:val="baseline"/>
              <w:rPr>
                <w:rFonts w:ascii="宋体" w:eastAsia="仿宋_GB2312" w:cs="宋体" w:hAnsi="宋体"/>
                <w:kern w:val="0"/>
                <w:sz w:val="28"/>
                <w:szCs w:val="28"/>
              </w:rPr>
            </w:pPr>
            <w:r>
              <w:rPr>
                <w:rFonts w:ascii="宋体" w:eastAsia="仿宋_GB2312" w:cs="宋体" w:hAnsi="宋体" w:hint="eastAsia"/>
                <w:kern w:val="0"/>
                <w:sz w:val="28"/>
                <w:szCs w:val="28"/>
              </w:rPr>
              <w:t>保障平台主要实现以下功能：商标查询功能、商标预警功能、重点商标保护名录库、法律法规库、执法骨干信息库、网上侵权预警、商标相似度判定系统、商标代理机构监管、商标统计分析、地理标志管理等。</w:t>
            </w:r>
          </w:p>
        </w:tc>
      </w:tr>
    </w:tbl>
    <w:p>
      <w:pPr>
        <w:spacing w:line="579" w:lineRule="exact"/>
        <w:textAlignment w:val="baseline"/>
        <w:rPr>
          <w:rFonts w:ascii="宋体" w:eastAsia="仿宋" w:cs="仿宋" w:hAnsi="宋体"/>
          <w:sz w:val="28"/>
          <w:szCs w:val="28"/>
        </w:rPr>
      </w:pPr>
    </w:p>
    <w:tbl>
      <w:tblPr>
        <w:jc w:val="cente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60"/>
      </w:tblGrid>
      <w:tr>
        <w:trPr>
          <w:trHeight w:val="580"/>
        </w:trPr>
        <w:tc>
          <w:tcPr>
            <w:tcW w:w="8860" w:type="dxa"/>
          </w:tcPr>
          <w:p>
            <w:pPr>
              <w:jc w:val="center"/>
              <w:textAlignment w:val="baseline"/>
              <w:rPr>
                <w:rFonts w:ascii="宋体" w:eastAsia="楷体_GB2312" w:cs="仿宋" w:hAnsi="宋体"/>
                <w:sz w:val="28"/>
                <w:szCs w:val="28"/>
              </w:rPr>
            </w:pPr>
            <w:r>
              <w:rPr>
                <w:rFonts w:ascii="宋体" w:eastAsia="楷体_GB2312" w:hAnsi="宋体" w:hint="eastAsia"/>
                <w:sz w:val="28"/>
                <w:szCs w:val="28"/>
              </w:rPr>
              <w:t>专栏</w:t>
            </w:r>
            <w:r>
              <w:rPr>
                <w:rFonts w:ascii="宋体" w:eastAsia="楷体_GB2312" w:hAnsi="宋体"/>
                <w:sz w:val="28"/>
                <w:szCs w:val="28"/>
              </w:rPr>
              <w:t xml:space="preserve">7  </w:t>
            </w:r>
            <w:r>
              <w:rPr>
                <w:rFonts w:ascii="宋体" w:eastAsia="楷体_GB2312" w:hAnsi="宋体" w:hint="eastAsia"/>
                <w:sz w:val="28"/>
                <w:szCs w:val="28"/>
              </w:rPr>
              <w:t>实施专利量质提升促进工程</w:t>
            </w:r>
          </w:p>
        </w:tc>
      </w:tr>
      <w:tr>
        <w:trPr>
          <w:trHeight w:val="5781"/>
        </w:trPr>
        <w:tc>
          <w:tcPr>
            <w:tcW w:w="8860" w:type="dxa"/>
            <w:vAlign w:val="center"/>
          </w:tcPr>
          <w:p>
            <w:pPr>
              <w:pStyle w:val="33"/>
              <w:spacing w:line="400" w:lineRule="exact"/>
              <w:textAlignment w:val="baseline"/>
              <w:rPr>
                <w:rFonts w:ascii="宋体" w:eastAsia="仿宋_GB2312" w:cs="宋体" w:hAnsi="宋体"/>
                <w:kern w:val="0"/>
                <w:sz w:val="28"/>
                <w:szCs w:val="28"/>
              </w:rPr>
            </w:pPr>
            <w:r>
              <w:rPr>
                <w:rFonts w:ascii="宋体" w:eastAsia="仿宋_GB2312" w:cs="宋体" w:hAnsi="宋体"/>
                <w:kern w:val="0"/>
                <w:sz w:val="28"/>
                <w:szCs w:val="28"/>
              </w:rPr>
              <w:t>2025</w:t>
            </w:r>
            <w:r>
              <w:rPr>
                <w:rFonts w:ascii="宋体" w:eastAsia="仿宋_GB2312" w:cs="宋体" w:hAnsi="宋体" w:hint="eastAsia"/>
                <w:kern w:val="0"/>
                <w:sz w:val="28"/>
                <w:szCs w:val="28"/>
              </w:rPr>
              <w:t>年</w:t>
            </w:r>
            <w:r>
              <w:rPr>
                <w:rFonts w:ascii="宋体" w:eastAsia="仿宋_GB2312" w:cs="宋体" w:hAnsi="宋体"/>
                <w:kern w:val="0"/>
                <w:sz w:val="28"/>
                <w:szCs w:val="28"/>
              </w:rPr>
              <w:t>，</w:t>
            </w:r>
            <w:r>
              <w:rPr>
                <w:rFonts w:ascii="宋体" w:eastAsia="仿宋_GB2312" w:cs="宋体" w:hAnsi="宋体" w:hint="eastAsia"/>
                <w:kern w:val="0"/>
                <w:sz w:val="28"/>
                <w:szCs w:val="28"/>
              </w:rPr>
              <w:t>全省每万人口有效发明专利拥有量达到</w:t>
            </w:r>
            <w:r>
              <w:rPr>
                <w:rFonts w:ascii="宋体" w:eastAsia="仿宋_GB2312" w:cs="宋体" w:hAnsi="宋体"/>
                <w:kern w:val="0"/>
                <w:sz w:val="28"/>
                <w:szCs w:val="28"/>
              </w:rPr>
              <w:t>6.2</w:t>
            </w:r>
            <w:r>
              <w:rPr>
                <w:rFonts w:ascii="宋体" w:eastAsia="仿宋_GB2312" w:cs="宋体" w:hAnsi="宋体" w:hint="eastAsia"/>
                <w:kern w:val="0"/>
                <w:sz w:val="28"/>
                <w:szCs w:val="28"/>
              </w:rPr>
              <w:t>件，高价值专利组合数量不低于</w:t>
            </w:r>
            <w:r>
              <w:rPr>
                <w:rFonts w:ascii="宋体" w:eastAsia="仿宋_GB2312" w:cs="宋体" w:hAnsi="宋体"/>
                <w:kern w:val="0"/>
                <w:sz w:val="28"/>
                <w:szCs w:val="28"/>
              </w:rPr>
              <w:t>30</w:t>
            </w:r>
            <w:r>
              <w:rPr>
                <w:rFonts w:ascii="宋体" w:eastAsia="仿宋_GB2312" w:cs="宋体" w:hAnsi="宋体" w:hint="eastAsia"/>
                <w:kern w:val="0"/>
                <w:sz w:val="28"/>
                <w:szCs w:val="28"/>
              </w:rPr>
              <w:t>个，全省专利质押融资金额年均增长</w:t>
            </w:r>
            <w:r>
              <w:rPr>
                <w:rFonts w:ascii="宋体" w:eastAsia="仿宋_GB2312" w:cs="宋体" w:hAnsi="宋体"/>
                <w:kern w:val="0"/>
                <w:sz w:val="28"/>
                <w:szCs w:val="28"/>
              </w:rPr>
              <w:t>10%</w:t>
            </w:r>
            <w:r>
              <w:rPr>
                <w:rFonts w:ascii="宋体" w:eastAsia="仿宋_GB2312" w:cs="宋体" w:hAnsi="宋体" w:hint="eastAsia"/>
                <w:kern w:val="0"/>
                <w:sz w:val="28"/>
                <w:szCs w:val="28"/>
              </w:rPr>
              <w:t>以上。</w:t>
            </w:r>
          </w:p>
          <w:p>
            <w:pPr>
              <w:spacing w:line="400" w:lineRule="exact"/>
              <w:ind w:firstLineChars="200" w:firstLine="560"/>
              <w:textAlignment w:val="baseline"/>
              <w:rPr>
                <w:rFonts w:ascii="宋体" w:eastAsia="仿宋_GB2312" w:cs="宋体" w:hAnsi="宋体"/>
                <w:kern w:val="0"/>
                <w:sz w:val="28"/>
                <w:szCs w:val="28"/>
              </w:rPr>
            </w:pPr>
            <w:r>
              <w:rPr>
                <w:rFonts w:ascii="宋体" w:eastAsia="仿宋_GB2312" w:cs="宋体" w:hAnsi="宋体"/>
                <w:kern w:val="0"/>
                <w:sz w:val="28"/>
                <w:szCs w:val="28"/>
              </w:rPr>
              <w:t>1</w:t>
            </w:r>
            <w:r>
              <w:rPr>
                <w:rFonts w:ascii="宋体" w:eastAsia="仿宋_GB2312" w:cs="宋体" w:hAnsi="宋体" w:hint="eastAsia"/>
                <w:kern w:val="0"/>
                <w:sz w:val="28"/>
                <w:szCs w:val="28"/>
              </w:rPr>
              <w:t>．开展专利质量提升工程系列宣讲和培训活动。</w:t>
            </w:r>
          </w:p>
          <w:p>
            <w:pPr>
              <w:spacing w:line="400" w:lineRule="exact"/>
              <w:ind w:firstLineChars="200" w:firstLine="560"/>
              <w:textAlignment w:val="baseline"/>
              <w:rPr>
                <w:rFonts w:ascii="宋体" w:eastAsia="仿宋_GB2312" w:cs="宋体" w:hAnsi="宋体"/>
                <w:kern w:val="0"/>
                <w:sz w:val="28"/>
                <w:szCs w:val="28"/>
              </w:rPr>
            </w:pPr>
            <w:r>
              <w:rPr>
                <w:rFonts w:ascii="宋体" w:eastAsia="仿宋_GB2312" w:cs="宋体" w:hAnsi="宋体"/>
                <w:kern w:val="0"/>
                <w:sz w:val="28"/>
                <w:szCs w:val="28"/>
              </w:rPr>
              <w:t>2</w:t>
            </w:r>
            <w:r>
              <w:rPr>
                <w:rFonts w:ascii="宋体" w:eastAsia="仿宋_GB2312" w:cs="宋体" w:hAnsi="宋体" w:hint="eastAsia"/>
                <w:kern w:val="0"/>
                <w:sz w:val="28"/>
                <w:szCs w:val="28"/>
              </w:rPr>
              <w:t>．实施高价值专利培育计划，推动企业、高校院所、知识产权服务机构加强合作，在主要技术领域创造一批创新水平高、权利状态稳定、市场竞争力强的高价值专利。</w:t>
            </w:r>
          </w:p>
          <w:p>
            <w:pPr>
              <w:spacing w:line="400" w:lineRule="exact"/>
              <w:ind w:firstLineChars="200" w:firstLine="560"/>
              <w:textAlignment w:val="baseline"/>
              <w:rPr>
                <w:rFonts w:ascii="宋体" w:eastAsia="仿宋_GB2312" w:cs="宋体" w:hAnsi="宋体"/>
                <w:kern w:val="0"/>
                <w:sz w:val="28"/>
                <w:szCs w:val="28"/>
              </w:rPr>
            </w:pPr>
            <w:r>
              <w:rPr>
                <w:rFonts w:ascii="宋体" w:eastAsia="仿宋_GB2312" w:cs="宋体" w:hAnsi="宋体"/>
                <w:kern w:val="0"/>
                <w:sz w:val="28"/>
                <w:szCs w:val="28"/>
              </w:rPr>
              <w:t>3</w:t>
            </w:r>
            <w:r>
              <w:rPr>
                <w:rFonts w:ascii="宋体" w:eastAsia="仿宋_GB2312" w:cs="宋体" w:hAnsi="宋体" w:hint="eastAsia"/>
                <w:kern w:val="0"/>
                <w:sz w:val="28"/>
                <w:szCs w:val="28"/>
              </w:rPr>
              <w:t>．推进高等院校和科研机构职务发明专利权属改革，推动高校院所开展知识产权运营服务，加强专利运用实施，促进成果转移转化。</w:t>
            </w:r>
          </w:p>
          <w:p>
            <w:pPr>
              <w:spacing w:line="400" w:lineRule="exact"/>
              <w:ind w:firstLineChars="200" w:firstLine="560"/>
              <w:textAlignment w:val="baseline"/>
              <w:rPr>
                <w:rFonts w:ascii="宋体" w:eastAsia="仿宋_GB2312" w:cs="宋体" w:hAnsi="宋体"/>
                <w:kern w:val="0"/>
                <w:sz w:val="28"/>
                <w:szCs w:val="28"/>
              </w:rPr>
            </w:pPr>
            <w:r>
              <w:rPr>
                <w:rFonts w:ascii="宋体" w:eastAsia="仿宋_GB2312" w:cs="宋体" w:hAnsi="宋体"/>
                <w:kern w:val="0"/>
                <w:sz w:val="28"/>
                <w:szCs w:val="28"/>
              </w:rPr>
              <w:t>4</w:t>
            </w:r>
            <w:r>
              <w:rPr>
                <w:rFonts w:ascii="宋体" w:eastAsia="仿宋_GB2312" w:cs="宋体" w:hAnsi="宋体" w:hint="eastAsia"/>
                <w:kern w:val="0"/>
                <w:sz w:val="28"/>
                <w:szCs w:val="28"/>
              </w:rPr>
              <w:t>．组织开展海南省专利奖评选活动，充分调动专利创造者的积极性和主动性。</w:t>
            </w:r>
          </w:p>
          <w:p>
            <w:pPr>
              <w:spacing w:line="400" w:lineRule="exact"/>
              <w:ind w:firstLineChars="200" w:firstLine="560"/>
              <w:textAlignment w:val="baseline"/>
              <w:rPr>
                <w:rFonts w:ascii="宋体" w:eastAsia="仿宋_GB2312" w:cs="宋体" w:hAnsi="宋体"/>
                <w:kern w:val="0"/>
                <w:sz w:val="28"/>
                <w:szCs w:val="28"/>
              </w:rPr>
            </w:pPr>
            <w:r>
              <w:rPr>
                <w:rFonts w:ascii="宋体" w:eastAsia="仿宋_GB2312" w:cs="宋体" w:hAnsi="宋体"/>
                <w:kern w:val="0"/>
                <w:sz w:val="28"/>
                <w:szCs w:val="28"/>
              </w:rPr>
              <w:t>5</w:t>
            </w:r>
            <w:r>
              <w:rPr>
                <w:rFonts w:ascii="宋体" w:eastAsia="仿宋_GB2312" w:cs="宋体" w:hAnsi="宋体" w:hint="eastAsia"/>
                <w:kern w:val="0"/>
                <w:sz w:val="28"/>
                <w:szCs w:val="28"/>
              </w:rPr>
              <w:t>．开展专利质押融资政策宣读和银企对接活动。</w:t>
            </w:r>
          </w:p>
          <w:p>
            <w:pPr>
              <w:spacing w:line="400" w:lineRule="exact"/>
              <w:ind w:firstLineChars="200" w:firstLine="560"/>
              <w:textAlignment w:val="baseline"/>
              <w:rPr>
                <w:rFonts w:ascii="宋体" w:eastAsia="仿宋_GB2312" w:cs="宋体" w:hAnsi="宋体"/>
                <w:kern w:val="0"/>
                <w:sz w:val="28"/>
                <w:szCs w:val="28"/>
              </w:rPr>
            </w:pPr>
            <w:r>
              <w:rPr>
                <w:rFonts w:ascii="宋体" w:eastAsia="仿宋_GB2312" w:cs="宋体" w:hAnsi="宋体"/>
                <w:kern w:val="0"/>
                <w:sz w:val="28"/>
                <w:szCs w:val="28"/>
              </w:rPr>
              <w:t>6</w:t>
            </w:r>
            <w:r>
              <w:rPr>
                <w:rFonts w:ascii="宋体" w:eastAsia="仿宋_GB2312" w:cs="宋体" w:hAnsi="宋体" w:hint="eastAsia"/>
                <w:kern w:val="0"/>
                <w:sz w:val="28"/>
                <w:szCs w:val="28"/>
              </w:rPr>
              <w:t>．指导高校院所设立专利运营机构。</w:t>
            </w:r>
          </w:p>
          <w:p>
            <w:pPr>
              <w:spacing w:line="400" w:lineRule="exact"/>
              <w:ind w:firstLineChars="200" w:firstLine="560"/>
              <w:textAlignment w:val="baseline"/>
              <w:rPr>
                <w:rFonts w:ascii="宋体" w:eastAsia="仿宋" w:cs="仿宋" w:hAnsi="宋体"/>
                <w:sz w:val="28"/>
                <w:szCs w:val="28"/>
              </w:rPr>
            </w:pPr>
            <w:r>
              <w:rPr>
                <w:rFonts w:ascii="宋体" w:eastAsia="仿宋_GB2312" w:cs="宋体" w:hAnsi="宋体"/>
                <w:kern w:val="0"/>
                <w:sz w:val="28"/>
                <w:szCs w:val="28"/>
              </w:rPr>
              <w:t>7</w:t>
            </w:r>
            <w:r>
              <w:rPr>
                <w:rFonts w:ascii="宋体" w:eastAsia="仿宋_GB2312" w:cs="宋体" w:hAnsi="宋体" w:hint="eastAsia"/>
                <w:kern w:val="0"/>
                <w:sz w:val="28"/>
                <w:szCs w:val="28"/>
              </w:rPr>
              <w:t>．进一步规范专利申请行为，打击不以保护创新为目的的非正常专利申请行为，提升专利质量。</w:t>
            </w:r>
          </w:p>
        </w:tc>
      </w:tr>
    </w:tbl>
    <w:p>
      <w:pPr>
        <w:spacing w:line="520" w:lineRule="exact"/>
        <w:textAlignment w:val="baseline"/>
        <w:rPr>
          <w:rFonts w:ascii="宋体" w:eastAsia="仿宋" w:cs="仿宋" w:hAnsi="宋体"/>
          <w:sz w:val="28"/>
          <w:szCs w:val="28"/>
        </w:rPr>
      </w:pPr>
    </w:p>
    <w:tbl>
      <w:tblPr>
        <w:jc w:val="cente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80"/>
      </w:tblGrid>
      <w:tr>
        <w:trPr>
          <w:trHeight w:val="457"/>
        </w:trPr>
        <w:tc>
          <w:tcPr>
            <w:tcW w:w="8880" w:type="dxa"/>
            <w:vAlign w:val="center"/>
          </w:tcPr>
          <w:p>
            <w:pPr>
              <w:jc w:val="center"/>
              <w:textAlignment w:val="baseline"/>
              <w:rPr>
                <w:rFonts w:ascii="宋体" w:eastAsia="楷体_GB2312" w:cs="仿宋" w:hAnsi="宋体"/>
                <w:sz w:val="28"/>
                <w:szCs w:val="28"/>
              </w:rPr>
            </w:pPr>
            <w:r>
              <w:rPr>
                <w:rFonts w:ascii="宋体" w:eastAsia="楷体_GB2312" w:hAnsi="宋体" w:hint="eastAsia"/>
                <w:sz w:val="28"/>
                <w:szCs w:val="28"/>
              </w:rPr>
              <w:t>专栏</w:t>
            </w:r>
            <w:r>
              <w:rPr>
                <w:rFonts w:ascii="宋体" w:eastAsia="楷体_GB2312" w:hAnsi="宋体"/>
                <w:sz w:val="28"/>
                <w:szCs w:val="28"/>
              </w:rPr>
              <w:t xml:space="preserve">8  </w:t>
            </w:r>
            <w:r>
              <w:rPr>
                <w:rFonts w:ascii="宋体" w:eastAsia="楷体_GB2312" w:hAnsi="宋体" w:hint="eastAsia"/>
                <w:sz w:val="28"/>
                <w:szCs w:val="28"/>
              </w:rPr>
              <w:t>实施商标品牌战略工程</w:t>
            </w:r>
          </w:p>
        </w:tc>
      </w:tr>
      <w:tr>
        <w:trPr>
          <w:trHeight w:val="3438"/>
        </w:trPr>
        <w:tc>
          <w:tcPr>
            <w:tcW w:w="8880" w:type="dxa"/>
            <w:vAlign w:val="center"/>
          </w:tcPr>
          <w:p>
            <w:pPr>
              <w:spacing w:line="400" w:lineRule="exact"/>
              <w:ind w:firstLineChars="200" w:firstLine="560"/>
              <w:textAlignment w:val="baseline"/>
              <w:rPr>
                <w:rFonts w:ascii="宋体" w:eastAsia="仿宋_GB2312" w:cs="宋体" w:hAnsi="宋体"/>
                <w:kern w:val="0"/>
                <w:sz w:val="28"/>
                <w:szCs w:val="28"/>
              </w:rPr>
            </w:pPr>
            <w:r>
              <w:rPr>
                <w:rFonts w:ascii="宋体" w:eastAsia="仿宋_GB2312" w:cs="宋体" w:hAnsi="宋体" w:hint="eastAsia"/>
                <w:kern w:val="0"/>
                <w:sz w:val="28"/>
                <w:szCs w:val="28"/>
              </w:rPr>
              <w:t>到</w:t>
            </w:r>
            <w:r>
              <w:rPr>
                <w:rFonts w:ascii="宋体" w:eastAsia="仿宋_GB2312" w:cs="宋体" w:hAnsi="宋体"/>
                <w:kern w:val="0"/>
                <w:sz w:val="28"/>
                <w:szCs w:val="28"/>
              </w:rPr>
              <w:t>2025</w:t>
            </w:r>
            <w:r>
              <w:rPr>
                <w:rFonts w:ascii="宋体" w:eastAsia="仿宋_GB2312" w:cs="宋体" w:hAnsi="宋体" w:hint="eastAsia"/>
                <w:kern w:val="0"/>
                <w:sz w:val="28"/>
                <w:szCs w:val="28"/>
              </w:rPr>
              <w:t>年底，全省有效商标注册量</w:t>
            </w:r>
            <w:r>
              <w:rPr>
                <w:rFonts w:ascii="宋体" w:eastAsia="仿宋_GB2312" w:cs="宋体" w:hAnsi="宋体"/>
                <w:kern w:val="0"/>
                <w:sz w:val="28"/>
                <w:szCs w:val="28"/>
              </w:rPr>
              <w:t>20</w:t>
            </w:r>
            <w:r>
              <w:rPr>
                <w:rFonts w:ascii="宋体" w:eastAsia="仿宋_GB2312" w:cs="宋体" w:hAnsi="宋体" w:hint="eastAsia"/>
                <w:kern w:val="0"/>
                <w:sz w:val="28"/>
                <w:szCs w:val="28"/>
              </w:rPr>
              <w:t>万件以上，新增地理标志商标</w:t>
            </w:r>
            <w:r>
              <w:rPr>
                <w:rFonts w:ascii="宋体" w:eastAsia="仿宋_GB2312" w:cs="宋体" w:hAnsi="宋体"/>
                <w:kern w:val="0"/>
                <w:sz w:val="28"/>
                <w:szCs w:val="28"/>
              </w:rPr>
              <w:t>100</w:t>
            </w:r>
            <w:r>
              <w:rPr>
                <w:rFonts w:ascii="宋体" w:eastAsia="仿宋_GB2312" w:cs="宋体" w:hAnsi="宋体" w:hint="eastAsia"/>
                <w:kern w:val="0"/>
                <w:sz w:val="28"/>
                <w:szCs w:val="28"/>
              </w:rPr>
              <w:t>件以上，专用标志使用率年增长</w:t>
            </w:r>
            <w:r>
              <w:rPr>
                <w:rFonts w:ascii="宋体" w:eastAsia="仿宋_GB2312" w:cs="宋体" w:hAnsi="宋体"/>
                <w:kern w:val="0"/>
                <w:sz w:val="28"/>
                <w:szCs w:val="28"/>
              </w:rPr>
              <w:t>20%</w:t>
            </w:r>
            <w:r>
              <w:rPr>
                <w:rFonts w:ascii="宋体" w:eastAsia="仿宋_GB2312" w:cs="宋体" w:hAnsi="宋体" w:hint="eastAsia"/>
                <w:kern w:val="0"/>
                <w:sz w:val="28"/>
                <w:szCs w:val="28"/>
              </w:rPr>
              <w:t>以上，年产值上亿元的地理标志产品达</w:t>
            </w:r>
            <w:r>
              <w:rPr>
                <w:rFonts w:ascii="宋体" w:eastAsia="仿宋_GB2312" w:cs="宋体" w:hAnsi="宋体"/>
                <w:kern w:val="0"/>
                <w:sz w:val="28"/>
                <w:szCs w:val="28"/>
              </w:rPr>
              <w:t>30</w:t>
            </w:r>
            <w:r>
              <w:rPr>
                <w:rFonts w:ascii="宋体" w:eastAsia="仿宋_GB2312" w:cs="宋体" w:hAnsi="宋体" w:hint="eastAsia"/>
                <w:kern w:val="0"/>
                <w:sz w:val="28"/>
                <w:szCs w:val="28"/>
              </w:rPr>
              <w:t>个以上。</w:t>
            </w:r>
          </w:p>
          <w:p>
            <w:pPr>
              <w:spacing w:line="400" w:lineRule="exact"/>
              <w:ind w:firstLineChars="200" w:firstLine="560"/>
              <w:textAlignment w:val="baseline"/>
              <w:rPr>
                <w:rFonts w:ascii="宋体" w:eastAsia="仿宋" w:cs="仿宋" w:hAnsi="宋体"/>
                <w:sz w:val="28"/>
                <w:szCs w:val="28"/>
              </w:rPr>
            </w:pPr>
            <w:r>
              <w:rPr>
                <w:rFonts w:ascii="宋体" w:eastAsia="仿宋_GB2312" w:cs="宋体" w:hAnsi="宋体" w:hint="eastAsia"/>
                <w:kern w:val="0"/>
                <w:sz w:val="28"/>
                <w:szCs w:val="28"/>
              </w:rPr>
              <w:t>积极推进商标注册便利化改革，进一步优化商标窗口布局。构建具有我省特色的地理标志挖掘、培育、申报、运用和保护工作体系。激活地理标志存量，促进地理标志增量，进一步彰显地理标志品牌效益，不断完善地理标志标准化建设和检测体系，加强市场监管，大力实施地理标志运用促进工程，助推乡村振兴作用发挥明显。</w:t>
            </w:r>
          </w:p>
        </w:tc>
      </w:tr>
    </w:tbl>
    <w:p>
      <w:pPr>
        <w:spacing w:line="520" w:lineRule="exact"/>
        <w:textAlignment w:val="baseline"/>
        <w:rPr>
          <w:rFonts w:ascii="宋体" w:eastAsia="仿宋" w:cs="仿宋" w:hAnsi="宋体"/>
          <w:sz w:val="32"/>
          <w:szCs w:val="32"/>
        </w:rPr>
      </w:pPr>
    </w:p>
    <w:p>
      <w:pPr>
        <w:tabs>
          <w:tab w:val="left" w:pos="312"/>
        </w:tabs>
        <w:spacing w:line="579" w:lineRule="exact"/>
        <w:ind w:firstLineChars="200" w:firstLine="640"/>
        <w:textAlignment w:val="baseline"/>
        <w:rPr>
          <w:rFonts w:ascii="宋体" w:eastAsia="仿宋_GB2312" w:cs="宋体" w:hAnsi="宋体"/>
          <w:sz w:val="32"/>
          <w:szCs w:val="32"/>
        </w:rPr>
      </w:pPr>
      <w:r>
        <w:rPr>
          <w:rFonts w:ascii="宋体" w:eastAsia="楷体_GB2312" w:cs="宋体" w:hAnsi="宋体" w:hint="eastAsia"/>
          <w:sz w:val="32"/>
          <w:szCs w:val="32"/>
        </w:rPr>
        <w:t>（二十</w:t>
      </w:r>
      <w:r>
        <w:rPr>
          <w:rFonts w:ascii="宋体" w:eastAsia="楷体_GB2312" w:cs="宋体" w:hAnsi="宋体"/>
          <w:sz w:val="32"/>
          <w:szCs w:val="32"/>
        </w:rPr>
        <w:t>三</w:t>
      </w:r>
      <w:r>
        <w:rPr>
          <w:rFonts w:ascii="宋体" w:eastAsia="楷体_GB2312" w:cs="宋体" w:hAnsi="宋体" w:hint="eastAsia"/>
          <w:sz w:val="32"/>
          <w:szCs w:val="32"/>
        </w:rPr>
        <w:t>）</w:t>
      </w:r>
      <w:r>
        <w:rPr>
          <w:rStyle w:val="22Char"/>
          <w:rFonts w:ascii="宋体" w:eastAsia="楷体_GB2312" w:hAnsi="宋体" w:hint="eastAsia"/>
          <w:b w:val="0"/>
        </w:rPr>
        <w:t>强化知识产权管理和服务。</w:t>
      </w:r>
      <w:r>
        <w:rPr>
          <w:rFonts w:ascii="宋体" w:eastAsia="仿宋_GB2312" w:cs="宋体" w:hAnsi="宋体" w:hint="eastAsia"/>
          <w:sz w:val="32"/>
          <w:szCs w:val="32"/>
        </w:rPr>
        <w:t>推行企业、高校院所、科研机构知识产权管理规范。大力培育知识产权示范企业、知识产权优势企业，形成一批拥有自主知识产权的龙头企业。建设知识产权公共服务平台。支持产业规划类、企业经营类等专利导航试点工程。引进和培育一批知识产权运营机构。建设知识产权服务业集聚区。推进知识产权信息服务机构建设。</w:t>
      </w:r>
    </w:p>
    <w:p>
      <w:pPr>
        <w:spacing w:line="579" w:lineRule="exact"/>
        <w:textAlignment w:val="baseline"/>
        <w:rPr>
          <w:rFonts w:ascii="宋体" w:eastAsia="仿宋_GB2312" w:cs="宋体" w:hAnsi="宋体"/>
          <w:sz w:val="32"/>
          <w:szCs w:val="32"/>
        </w:rPr>
      </w:pPr>
    </w:p>
    <w:tbl>
      <w:tblPr>
        <w:jc w:val="center"/>
        <w:tblW w:w="8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1"/>
      </w:tblGrid>
      <w:tr>
        <w:trPr>
          <w:trHeight w:val="642"/>
        </w:trPr>
        <w:tc>
          <w:tcPr>
            <w:tcW w:w="8671" w:type="dxa"/>
            <w:vAlign w:val="center"/>
          </w:tcPr>
          <w:p>
            <w:pPr>
              <w:jc w:val="center"/>
              <w:textAlignment w:val="baseline"/>
              <w:rPr>
                <w:rFonts w:ascii="宋体" w:eastAsia="楷体_GB2312" w:cs="宋体" w:hAnsi="宋体"/>
                <w:sz w:val="32"/>
                <w:szCs w:val="32"/>
              </w:rPr>
            </w:pPr>
            <w:r>
              <w:rPr>
                <w:rFonts w:ascii="宋体" w:eastAsia="楷体_GB2312" w:hAnsi="宋体" w:hint="eastAsia"/>
                <w:sz w:val="28"/>
                <w:szCs w:val="28"/>
              </w:rPr>
              <w:t>专栏</w:t>
            </w:r>
            <w:r>
              <w:rPr>
                <w:rFonts w:ascii="宋体" w:eastAsia="楷体_GB2312" w:hAnsi="宋体"/>
                <w:sz w:val="28"/>
                <w:szCs w:val="28"/>
              </w:rPr>
              <w:t xml:space="preserve">9  </w:t>
            </w:r>
            <w:r>
              <w:rPr>
                <w:rFonts w:ascii="宋体" w:eastAsia="楷体_GB2312" w:hAnsi="宋体" w:hint="eastAsia"/>
                <w:sz w:val="28"/>
                <w:szCs w:val="28"/>
              </w:rPr>
              <w:t>实施专利导航试点工程</w:t>
            </w:r>
          </w:p>
        </w:tc>
      </w:tr>
      <w:tr>
        <w:trPr>
          <w:trHeight w:val="2300"/>
        </w:trPr>
        <w:tc>
          <w:tcPr>
            <w:tcW w:w="8671" w:type="dxa"/>
            <w:vAlign w:val="center"/>
          </w:tcPr>
          <w:p>
            <w:pPr>
              <w:pStyle w:val="33"/>
              <w:spacing w:line="400" w:lineRule="exact"/>
              <w:textAlignment w:val="baseline"/>
              <w:rPr>
                <w:rFonts w:ascii="宋体" w:eastAsia="仿宋_GB2312" w:cs="宋体" w:hAnsi="宋体"/>
                <w:sz w:val="32"/>
                <w:szCs w:val="32"/>
              </w:rPr>
            </w:pPr>
            <w:r>
              <w:rPr>
                <w:rFonts w:ascii="宋体" w:eastAsia="仿宋_GB2312" w:cs="宋体" w:hAnsi="宋体" w:hint="eastAsia"/>
                <w:kern w:val="0"/>
                <w:sz w:val="28"/>
                <w:szCs w:val="28"/>
              </w:rPr>
              <w:t>在市县、重点园区、重点产业实施产业规划类、企业经营类等专利导航试点工程。通过专利导航试点项目实施，指导制定产业规划政策，为企业投资并购、技术创新、产品开发等经营活动提供决策咨询，为研发立项评价、辅助研发，以及人才遴选、人才评价等提供决策依据。</w:t>
            </w:r>
          </w:p>
        </w:tc>
      </w:tr>
    </w:tbl>
    <w:p>
      <w:pPr>
        <w:pStyle w:val="30"/>
        <w:spacing w:line="579" w:lineRule="exact"/>
        <w:textAlignment w:val="baseline"/>
        <w:rPr>
          <w:rFonts w:ascii="宋体"/>
        </w:rPr>
      </w:pPr>
    </w:p>
    <w:tbl>
      <w:tblPr>
        <w:jc w:val="cente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74"/>
      </w:tblGrid>
      <w:tr>
        <w:tc>
          <w:tcPr>
            <w:tcW w:w="8674" w:type="dxa"/>
          </w:tcPr>
          <w:p>
            <w:pPr>
              <w:jc w:val="center"/>
              <w:textAlignment w:val="baseline"/>
              <w:rPr>
                <w:rFonts w:ascii="宋体" w:eastAsia="仿宋_GB2312" w:cs="宋体" w:hAnsi="宋体"/>
                <w:sz w:val="32"/>
                <w:szCs w:val="32"/>
              </w:rPr>
            </w:pPr>
            <w:r>
              <w:rPr>
                <w:rFonts w:ascii="宋体" w:eastAsia="楷体_GB2312" w:hAnsi="宋体" w:hint="eastAsia"/>
                <w:sz w:val="28"/>
                <w:szCs w:val="28"/>
              </w:rPr>
              <w:t>专栏</w:t>
            </w:r>
            <w:r>
              <w:rPr>
                <w:rFonts w:ascii="宋体" w:eastAsia="楷体_GB2312" w:hAnsi="宋体"/>
                <w:sz w:val="28"/>
                <w:szCs w:val="28"/>
              </w:rPr>
              <w:t xml:space="preserve">10  </w:t>
            </w:r>
            <w:r>
              <w:rPr>
                <w:rFonts w:ascii="宋体" w:eastAsia="楷体_GB2312" w:hAnsi="宋体" w:hint="eastAsia"/>
                <w:sz w:val="28"/>
                <w:szCs w:val="28"/>
              </w:rPr>
              <w:t>知识产权公共服务平台建设工程</w:t>
            </w:r>
          </w:p>
        </w:tc>
      </w:tr>
      <w:tr>
        <w:trPr>
          <w:trHeight w:val="4984"/>
        </w:trPr>
        <w:tc>
          <w:tcPr>
            <w:tcW w:w="8674" w:type="dxa"/>
            <w:vAlign w:val="center"/>
          </w:tcPr>
          <w:p>
            <w:pPr>
              <w:pStyle w:val="33"/>
              <w:spacing w:line="400" w:lineRule="exact"/>
              <w:textAlignment w:val="baseline"/>
              <w:rPr>
                <w:rFonts w:ascii="宋体"/>
              </w:rPr>
            </w:pPr>
            <w:r>
              <w:rPr>
                <w:rFonts w:ascii="宋体" w:eastAsia="仿宋_GB2312" w:cs="宋体" w:hAnsi="宋体" w:hint="eastAsia"/>
                <w:kern w:val="0"/>
                <w:sz w:val="28"/>
                <w:szCs w:val="28"/>
              </w:rPr>
              <w:t>着力打造一套功能完备、服务优质、特色鲜明、覆盖全省的“一站式”知识产权综合服务平台。定期发布知识产权政策、典型案例和办事指南。对接省一体化在线政务服务平台，设置中国专利奖、海南省专利奖、知识产权专项资金申报窗口，方便各类企业和机构网上申报。对接国家新一代专利检索及分析系统，为社会公众免费提供专利检索分析服务。设立中国知识产权远程教育海南省知识产权远程教育平台，在有条件的市县知识产权管理部门和重点园区、高校院所、企业设立分站，免费提供丰富的知识产权远程培育资源。为我省市县、重点园区、高校院所、企业等创新主体提供知识产权数据统计、分析服务。围绕我省金融机构、知识产权服务机构以及创新主体的实际情况和业务需求，开展具有我省特色的知识产权金融服务。</w:t>
            </w:r>
          </w:p>
        </w:tc>
      </w:tr>
    </w:tbl>
    <w:p>
      <w:pPr>
        <w:pStyle w:val="37"/>
        <w:keepNext w:val="0"/>
        <w:keepLines w:val="0"/>
        <w:widowControl w:val="0"/>
        <w:spacing w:line="579" w:lineRule="exact"/>
        <w:textAlignment w:val="baseline"/>
        <w:rPr>
          <w:rFonts w:ascii="宋体" w:hAnsi="宋体"/>
          <w:b w:val="0"/>
          <w:szCs w:val="32"/>
        </w:rPr>
      </w:pPr>
      <w:bookmarkStart w:id="26" w:name="_Toc67532158"/>
      <w:r>
        <w:rPr>
          <w:rFonts w:ascii="宋体" w:hAnsi="宋体" w:hint="eastAsia"/>
          <w:b w:val="0"/>
          <w:szCs w:val="32"/>
        </w:rPr>
        <w:t>七、加强消费维权，服务国际旅游消费中心建设</w:t>
      </w:r>
      <w:bookmarkEnd w:id="26"/>
    </w:p>
    <w:p>
      <w:pPr>
        <w:spacing w:line="579" w:lineRule="exact"/>
        <w:ind w:firstLineChars="200" w:firstLine="640"/>
        <w:textAlignment w:val="baseline"/>
        <w:rPr>
          <w:rFonts w:ascii="宋体" w:eastAsia="仿宋_GB2312" w:cs="宋体" w:hAnsi="宋体"/>
          <w:kern w:val="0"/>
          <w:sz w:val="32"/>
          <w:szCs w:val="32"/>
        </w:rPr>
      </w:pPr>
      <w:bookmarkStart w:id="27" w:name="_Toc67532159"/>
      <w:r>
        <w:rPr>
          <w:rStyle w:val="22Char"/>
          <w:rFonts w:ascii="宋体" w:eastAsia="楷体_GB2312" w:hAnsi="宋体" w:hint="eastAsia"/>
          <w:b w:val="0"/>
        </w:rPr>
        <w:t>（二十四）加强消费维权行政保护工作</w:t>
      </w:r>
      <w:bookmarkEnd w:id="27"/>
      <w:r>
        <w:rPr>
          <w:rStyle w:val="22Char"/>
          <w:rFonts w:ascii="宋体" w:eastAsia="楷体_GB2312" w:hAnsi="宋体" w:hint="eastAsia"/>
          <w:b w:val="0"/>
        </w:rPr>
        <w:t>。</w:t>
      </w:r>
      <w:r>
        <w:rPr>
          <w:rFonts w:ascii="宋体" w:eastAsia="仿宋_GB2312" w:cs="宋体" w:hAnsi="宋体" w:hint="eastAsia"/>
          <w:kern w:val="0"/>
          <w:sz w:val="32"/>
          <w:szCs w:val="32"/>
        </w:rPr>
        <w:t>实现我省全境消费投诉调解一体化、线上线下消费维权一体化，深入推进“诉转案”消费维权制度改革，加大行政保护力度。加强免税商品消费市场监管。完善消费投诉信息公示机制。加强旅游消费市场监管，以消费诉求热点为导向，针对消费者反映集中的重点领域，组织开展专项整治，确保我省消费环境与国际旅游消费中心的地位相匹配。</w:t>
      </w:r>
    </w:p>
    <w:p>
      <w:pPr>
        <w:spacing w:line="579" w:lineRule="exact"/>
        <w:ind w:firstLineChars="200" w:firstLine="640"/>
        <w:textAlignment w:val="baseline"/>
        <w:rPr>
          <w:rFonts w:ascii="宋体" w:eastAsia="仿宋_GB2312" w:cs="宋体" w:hAnsi="宋体"/>
          <w:kern w:val="0"/>
          <w:sz w:val="32"/>
          <w:szCs w:val="32"/>
        </w:rPr>
      </w:pPr>
      <w:bookmarkStart w:id="28" w:name="_Toc67532160"/>
      <w:r>
        <w:rPr>
          <w:rStyle w:val="22Char"/>
          <w:rFonts w:ascii="宋体" w:eastAsia="楷体_GB2312" w:hAnsi="宋体" w:hint="eastAsia"/>
          <w:b w:val="0"/>
        </w:rPr>
        <w:t>（二十五）创新完善消费维权机制</w:t>
      </w:r>
      <w:bookmarkEnd w:id="28"/>
      <w:r>
        <w:rPr>
          <w:rStyle w:val="22Char"/>
          <w:rFonts w:ascii="宋体" w:eastAsia="楷体_GB2312" w:hAnsi="宋体" w:hint="eastAsia"/>
          <w:b w:val="0"/>
        </w:rPr>
        <w:t>。</w:t>
      </w:r>
      <w:r>
        <w:rPr>
          <w:rFonts w:ascii="宋体" w:eastAsia="仿宋_GB2312" w:cs="宋体" w:hAnsi="宋体" w:hint="eastAsia"/>
          <w:kern w:val="0"/>
          <w:sz w:val="32"/>
          <w:szCs w:val="32"/>
        </w:rPr>
        <w:t>深入开展放心消费创建，健全完善放心消费创建全域覆盖机制。完善实体店无理由退货机制、消费纠纷跨境协处机制、ODR消费调解机制。健全海南旅游消费市场欺客宰客快速舆情处置工作机制、快速执法办案工作机制。加大消费环节经营者赔偿先付的推广力度。发挥消费者社会组织作用，提升消费维权效能，推动消费环境提质升级。做好泛珠三角区域信息共享。</w:t>
      </w:r>
    </w:p>
    <w:p>
      <w:pPr>
        <w:spacing w:line="579" w:lineRule="exact"/>
        <w:ind w:firstLineChars="200" w:firstLine="640"/>
        <w:textAlignment w:val="baseline"/>
        <w:rPr>
          <w:rFonts w:ascii="宋体" w:eastAsia="仿宋_GB2312" w:cs="宋体" w:hAnsi="宋体"/>
          <w:kern w:val="0"/>
          <w:sz w:val="32"/>
          <w:szCs w:val="32"/>
        </w:rPr>
      </w:pPr>
      <w:r>
        <w:rPr>
          <w:rFonts w:ascii="宋体" w:eastAsia="楷体_GB2312" w:cs="宋体" w:hAnsi="宋体" w:hint="eastAsia"/>
          <w:kern w:val="0"/>
          <w:sz w:val="32"/>
          <w:szCs w:val="32"/>
        </w:rPr>
        <w:t>（二十</w:t>
      </w:r>
      <w:r>
        <w:rPr>
          <w:rFonts w:ascii="宋体" w:eastAsia="楷体_GB2312" w:cs="宋体" w:hAnsi="宋体"/>
          <w:kern w:val="0"/>
          <w:sz w:val="32"/>
          <w:szCs w:val="32"/>
        </w:rPr>
        <w:t>六</w:t>
      </w:r>
      <w:r>
        <w:rPr>
          <w:rFonts w:ascii="宋体" w:eastAsia="楷体_GB2312" w:cs="宋体" w:hAnsi="宋体" w:hint="eastAsia"/>
          <w:kern w:val="0"/>
          <w:sz w:val="32"/>
          <w:szCs w:val="32"/>
        </w:rPr>
        <w:t>）</w:t>
      </w:r>
      <w:r>
        <w:rPr>
          <w:rStyle w:val="22Char"/>
          <w:rFonts w:ascii="宋体" w:eastAsia="楷体_GB2312" w:hAnsi="宋体" w:hint="eastAsia"/>
          <w:b w:val="0"/>
        </w:rPr>
        <w:t>加强消费维权境外合作。</w:t>
      </w:r>
      <w:r>
        <w:rPr>
          <w:rFonts w:ascii="宋体" w:eastAsia="仿宋_GB2312" w:cs="宋体" w:hAnsi="宋体" w:hint="eastAsia"/>
          <w:kern w:val="0"/>
          <w:sz w:val="32"/>
          <w:szCs w:val="32"/>
        </w:rPr>
        <w:t>适应跨国跨境消费需要，探索与港澳消费者委员会建立工作联系，加强与世界各国消费者保护机构的联系，建立消费纠纷跨境协调处理机制，及时有效保护境内外消费者合法权益。加强我省消费维权措施的境外宣传，提振信任，营造安全放心的</w:t>
      </w:r>
      <w:r>
        <w:rPr>
          <w:rFonts w:ascii="宋体" w:eastAsia="仿宋_GB2312" w:cs="宋体" w:hAnsi="宋体"/>
          <w:kern w:val="0"/>
          <w:sz w:val="32"/>
          <w:szCs w:val="32"/>
        </w:rPr>
        <w:t>消费环境</w:t>
      </w:r>
      <w:r>
        <w:rPr>
          <w:rFonts w:ascii="宋体" w:eastAsia="仿宋_GB2312" w:cs="宋体" w:hAnsi="宋体" w:hint="eastAsia"/>
          <w:kern w:val="0"/>
          <w:sz w:val="32"/>
          <w:szCs w:val="32"/>
        </w:rPr>
        <w:t>，促进更多海外消费回流，吸引更多的境外人员到我省旅游购物消费。</w:t>
      </w:r>
    </w:p>
    <w:tbl>
      <w:tblPr>
        <w:jc w:val="cente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28"/>
      </w:tblGrid>
      <w:tr>
        <w:trPr>
          <w:trHeight w:val="577"/>
        </w:trPr>
        <w:tc>
          <w:tcPr>
            <w:tcW w:w="8828" w:type="dxa"/>
            <w:vAlign w:val="center"/>
          </w:tcPr>
          <w:p>
            <w:pPr>
              <w:jc w:val="center"/>
              <w:textAlignment w:val="baseline"/>
              <w:rPr>
                <w:rFonts w:ascii="宋体" w:eastAsia="楷体_GB2312" w:hAnsi="宋体"/>
                <w:bCs/>
                <w:sz w:val="28"/>
                <w:szCs w:val="24"/>
              </w:rPr>
            </w:pPr>
            <w:r>
              <w:rPr>
                <w:rFonts w:ascii="宋体" w:eastAsia="楷体_GB2312" w:hAnsi="宋体" w:hint="eastAsia"/>
                <w:bCs/>
                <w:sz w:val="28"/>
                <w:szCs w:val="24"/>
              </w:rPr>
              <w:t>专栏11  放心消费创建行动</w:t>
            </w:r>
          </w:p>
        </w:tc>
      </w:tr>
      <w:tr>
        <w:trPr>
          <w:trHeight w:val="5172"/>
        </w:trPr>
        <w:tc>
          <w:tcPr>
            <w:tcW w:w="8828" w:type="dxa"/>
            <w:vAlign w:val="center"/>
          </w:tcPr>
          <w:p>
            <w:pPr>
              <w:pStyle w:val="33"/>
              <w:spacing w:line="40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创新消费维权机制，健全主要行业、特色产业、新兴领域和重点场所放心消费创建标准，培育放心消费单位6000家以上，培育放心消费示范城市2个以上。促进消费品质量安全与服务水平显著提升，城乡放心消费公共服务均等化水平进一步提高，消费潜力充分释放。</w:t>
            </w:r>
          </w:p>
          <w:p>
            <w:pPr>
              <w:pStyle w:val="33"/>
              <w:spacing w:line="40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以景区景点、海鲜排档、旅游购物、特色瓜果、婚纱摄影等行业和区域为重点，组织开展旅游市场明查暗访、专项整治和约谈指导，重点打击哄抬物价、欺客宰客、“低价游”强制购物等违法行为，保护国内外游客合法权益。聚焦消费侵权热点难点问题，加大对养老家政、教育培训、美容美发、预付消费等消费领域监管，营造更加放心的消费环境。</w:t>
            </w:r>
          </w:p>
          <w:p>
            <w:pPr>
              <w:pStyle w:val="33"/>
              <w:spacing w:line="40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健全省、市、县消费者委员会组织机构，引导行业组织建立健全经营自律规范、自律公约和职业道德准则，组织开展商品和服务比较试验，协同推进消费民事公益诉讼，综合运用消费体验、消费调查、公开点评、社会曝光、公开约谈等手段，推动消费维权社会共治迈上新台阶。</w:t>
            </w:r>
          </w:p>
        </w:tc>
      </w:tr>
    </w:tbl>
    <w:p>
      <w:pPr>
        <w:pStyle w:val="37"/>
        <w:keepNext w:val="0"/>
        <w:keepLines w:val="0"/>
        <w:widowControl w:val="0"/>
        <w:spacing w:before="0" w:after="0" w:line="360" w:lineRule="exact"/>
        <w:textAlignment w:val="baseline"/>
        <w:outlineLvl w:val="9"/>
        <w:rPr>
          <w:rFonts w:ascii="宋体" w:hAnsi="宋体"/>
          <w:b w:val="0"/>
          <w:szCs w:val="32"/>
        </w:rPr>
      </w:pPr>
      <w:bookmarkStart w:id="29" w:name="_Toc67532161"/>
    </w:p>
    <w:p>
      <w:pPr>
        <w:pStyle w:val="37"/>
        <w:keepNext w:val="0"/>
        <w:keepLines w:val="0"/>
        <w:widowControl w:val="0"/>
        <w:spacing w:before="100" w:beforeAutospacing="1" w:after="100" w:afterAutospacing="1" w:line="579" w:lineRule="exact"/>
        <w:textAlignment w:val="baseline"/>
        <w:outlineLvl w:val="9"/>
        <w:rPr>
          <w:rFonts w:ascii="宋体" w:hAnsi="宋体"/>
          <w:b w:val="0"/>
          <w:szCs w:val="32"/>
        </w:rPr>
      </w:pPr>
      <w:r>
        <w:rPr>
          <w:rFonts w:ascii="宋体" w:hAnsi="宋体" w:hint="eastAsia"/>
          <w:b w:val="0"/>
          <w:szCs w:val="32"/>
        </w:rPr>
        <w:t>八、加强基础建设和能力建设，夯实现代化监管基本支撑</w:t>
      </w:r>
      <w:bookmarkEnd w:id="29"/>
    </w:p>
    <w:p>
      <w:pPr>
        <w:spacing w:line="579" w:lineRule="exact"/>
        <w:ind w:firstLineChars="200" w:firstLine="640"/>
        <w:textAlignment w:val="baseline"/>
        <w:rPr>
          <w:rFonts w:ascii="宋体" w:eastAsia="仿宋_GB2312" w:cs="宋体" w:hAnsi="宋体"/>
          <w:kern w:val="0"/>
          <w:sz w:val="32"/>
          <w:szCs w:val="32"/>
        </w:rPr>
      </w:pPr>
      <w:bookmarkStart w:id="30" w:name="_Toc67532162"/>
      <w:r>
        <w:rPr>
          <w:rStyle w:val="22Char"/>
          <w:rFonts w:ascii="宋体" w:eastAsia="楷体_GB2312" w:hAnsi="宋体" w:hint="eastAsia"/>
          <w:b w:val="0"/>
        </w:rPr>
        <w:t>（二十七）提高计量工作水平</w:t>
      </w:r>
      <w:bookmarkEnd w:id="30"/>
      <w:r>
        <w:rPr>
          <w:rStyle w:val="22Char"/>
          <w:rFonts w:ascii="宋体" w:eastAsia="楷体_GB2312" w:hAnsi="宋体" w:hint="eastAsia"/>
          <w:b w:val="0"/>
        </w:rPr>
        <w:t>。</w:t>
      </w:r>
      <w:r>
        <w:rPr>
          <w:rFonts w:ascii="宋体" w:eastAsia="仿宋_GB2312" w:cs="宋体" w:hAnsi="宋体" w:hint="eastAsia"/>
          <w:kern w:val="0"/>
          <w:sz w:val="32"/>
          <w:szCs w:val="32"/>
        </w:rPr>
        <w:t>积极争取技术指导帮扶、计量项目援建，加强计量基础建设，优化计量服务供给，提高计量工作服务我省经济社会发展的能力。支持鼓励省级计量技术机构与高等院校、科研院所加强合作，组建高水平研发机构，实施重大计量科技攻关项目，形成我省计量科技协同创新体系。</w:t>
      </w:r>
    </w:p>
    <w:p>
      <w:pPr>
        <w:spacing w:line="579" w:lineRule="exact"/>
        <w:ind w:firstLineChars="200" w:firstLine="640"/>
        <w:textAlignment w:val="baseline"/>
        <w:rPr>
          <w:rFonts w:ascii="宋体" w:eastAsia="仿宋_GB2312" w:cs="宋体" w:hAnsi="宋体"/>
          <w:kern w:val="0"/>
          <w:sz w:val="32"/>
          <w:szCs w:val="32"/>
        </w:rPr>
      </w:pPr>
      <w:bookmarkStart w:id="31" w:name="_Toc67532163"/>
      <w:r>
        <w:rPr>
          <w:rStyle w:val="22Char"/>
          <w:rFonts w:ascii="宋体" w:eastAsia="楷体_GB2312" w:hAnsi="宋体" w:hint="eastAsia"/>
          <w:b w:val="0"/>
        </w:rPr>
        <w:t>（二十八）提高标准工作水平</w:t>
      </w:r>
      <w:bookmarkEnd w:id="31"/>
      <w:r>
        <w:rPr>
          <w:rStyle w:val="22Char"/>
          <w:rFonts w:ascii="宋体" w:eastAsia="楷体_GB2312" w:hAnsi="宋体" w:hint="eastAsia"/>
          <w:b w:val="0"/>
        </w:rPr>
        <w:t>。</w:t>
      </w:r>
      <w:r>
        <w:rPr>
          <w:rFonts w:ascii="宋体" w:eastAsia="仿宋_GB2312" w:cs="宋体" w:hAnsi="宋体" w:hint="eastAsia"/>
          <w:kern w:val="0"/>
          <w:sz w:val="32"/>
          <w:szCs w:val="32"/>
        </w:rPr>
        <w:t>鼓励支持我省有条件的企业参与国家标准制订，积极支持我省企业、科研机构加强地方标准制订，争取我省有更多的企业成为企业标准的“领跑者”。积极对标国际标准，大幅提高我省地方标准与国际标准一致性程度。制定一批我省特色消费品产业链各环节地方标准，实施地方标准采用国际标准和国外先进标准制度，推进重点企业直接采用或对照国际标准与国外先进标准提升企业标准技术水平。大力实施标准化战略，加强标准化技术支撑建设，建设一批填补空白的标准。指导行业协会商会制定实施并在全国团体标准信息平台自我声明公开团体标准。</w:t>
      </w:r>
    </w:p>
    <w:p>
      <w:pPr>
        <w:spacing w:line="300" w:lineRule="exact"/>
        <w:ind w:firstLineChars="200" w:firstLine="640"/>
        <w:textAlignment w:val="baseline"/>
        <w:rPr>
          <w:rFonts w:ascii="宋体" w:eastAsia="仿宋_GB2312" w:cs="宋体" w:hAnsi="宋体"/>
          <w:kern w:val="0"/>
          <w:sz w:val="32"/>
          <w:szCs w:val="32"/>
        </w:rPr>
      </w:pPr>
    </w:p>
    <w:tbl>
      <w:tblPr>
        <w:jc w:val="cente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86"/>
      </w:tblGrid>
      <w:tr>
        <w:trPr>
          <w:trHeight w:val="608"/>
        </w:trPr>
        <w:tc>
          <w:tcPr>
            <w:tcW w:w="8786" w:type="dxa"/>
            <w:vAlign w:val="center"/>
          </w:tcPr>
          <w:p>
            <w:pPr>
              <w:jc w:val="center"/>
              <w:textAlignment w:val="baseline"/>
              <w:rPr>
                <w:rFonts w:ascii="宋体" w:eastAsia="楷体_GB2312" w:hAnsi="宋体"/>
                <w:bCs/>
                <w:sz w:val="28"/>
                <w:szCs w:val="24"/>
              </w:rPr>
            </w:pPr>
            <w:r>
              <w:rPr>
                <w:rFonts w:ascii="宋体" w:eastAsia="楷体_GB2312" w:hAnsi="宋体" w:hint="eastAsia"/>
                <w:bCs/>
                <w:sz w:val="28"/>
                <w:szCs w:val="24"/>
              </w:rPr>
              <w:t>专栏12  中药材地方标准行动</w:t>
            </w:r>
          </w:p>
        </w:tc>
      </w:tr>
      <w:tr>
        <w:trPr>
          <w:trHeight w:val="2181"/>
        </w:trPr>
        <w:tc>
          <w:tcPr>
            <w:tcW w:w="8786" w:type="dxa"/>
            <w:vAlign w:val="center"/>
          </w:tcPr>
          <w:p>
            <w:pPr>
              <w:pStyle w:val="33"/>
              <w:spacing w:line="40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完善我省中药材标准与中药饮片炮制规范的修订工作保障机制，继续推动我省地产中药材标准与中药饮片炮制规范的制订和修订工作，建立健全中药材标准、中药饮片炮制规范起草专家库，力争在“十四五”期间完成50余种产地药材标准与中药饮片炮制规范的制订，满足我省中药产业发展和监管需要。</w:t>
            </w:r>
          </w:p>
        </w:tc>
      </w:tr>
    </w:tbl>
    <w:p>
      <w:pPr>
        <w:spacing w:line="300" w:lineRule="exact"/>
        <w:ind w:firstLineChars="200" w:firstLine="640"/>
        <w:textAlignment w:val="baseline"/>
        <w:rPr>
          <w:rStyle w:val="22Char"/>
          <w:rFonts w:ascii="宋体" w:hAnsi="宋体"/>
          <w:b w:val="0"/>
        </w:rPr>
      </w:pPr>
      <w:bookmarkStart w:id="32" w:name="_Toc67532164"/>
    </w:p>
    <w:p>
      <w:pPr>
        <w:spacing w:line="579" w:lineRule="exact"/>
        <w:ind w:firstLineChars="200" w:firstLine="640"/>
        <w:textAlignment w:val="baseline"/>
        <w:rPr>
          <w:rFonts w:ascii="宋体" w:eastAsia="仿宋_GB2312" w:cs="宋体" w:hAnsi="宋体"/>
          <w:kern w:val="0"/>
          <w:sz w:val="32"/>
          <w:szCs w:val="32"/>
        </w:rPr>
      </w:pPr>
      <w:r>
        <w:rPr>
          <w:rStyle w:val="22Char"/>
          <w:rFonts w:ascii="宋体" w:eastAsia="楷体_GB2312" w:hAnsi="宋体" w:hint="eastAsia"/>
          <w:b w:val="0"/>
        </w:rPr>
        <w:t>（二十九）提高认证认可工作水平</w:t>
      </w:r>
      <w:bookmarkEnd w:id="32"/>
      <w:r>
        <w:rPr>
          <w:rStyle w:val="22Char"/>
          <w:rFonts w:ascii="宋体" w:eastAsia="楷体_GB2312" w:hAnsi="宋体" w:hint="eastAsia"/>
          <w:b w:val="0"/>
        </w:rPr>
        <w:t>。</w:t>
      </w:r>
      <w:r>
        <w:rPr>
          <w:rFonts w:ascii="宋体" w:eastAsia="仿宋_GB2312" w:cs="宋体" w:hAnsi="宋体" w:hint="eastAsia"/>
          <w:kern w:val="0"/>
          <w:sz w:val="32"/>
          <w:szCs w:val="32"/>
        </w:rPr>
        <w:t>推进质量管理体系省级行动，坚持强制性认证保底线，自愿性认证拉高线。在消费品领域积极推行高端品质认证。深化认证机构资质审批制度改革，按照风险等级实行分类管理。深化强制性产品认证制度改革，向国际通行的强制性合格评定制度转变。推行认可资质认定告知承诺制度，依法规范行为。不断完善和提升全生物降解塑料制品检测能力，大力推动产品检验检测国际互认。</w:t>
      </w:r>
    </w:p>
    <w:p>
      <w:pPr>
        <w:spacing w:line="579" w:lineRule="exact"/>
        <w:ind w:firstLineChars="200" w:firstLine="640"/>
        <w:textAlignment w:val="baseline"/>
        <w:rPr>
          <w:rFonts w:ascii="宋体" w:eastAsia="仿宋_GB2312" w:cs="宋体" w:hAnsi="宋体"/>
          <w:kern w:val="0"/>
          <w:sz w:val="32"/>
          <w:szCs w:val="32"/>
        </w:rPr>
      </w:pPr>
      <w:bookmarkStart w:id="33" w:name="_Toc67532165"/>
      <w:r>
        <w:rPr>
          <w:rStyle w:val="22Char"/>
          <w:rFonts w:ascii="宋体" w:eastAsia="楷体_GB2312" w:hAnsi="宋体" w:hint="eastAsia"/>
          <w:b w:val="0"/>
        </w:rPr>
        <w:t>（三十）加强检验检测机构和实验室建设</w:t>
      </w:r>
      <w:bookmarkEnd w:id="33"/>
      <w:r>
        <w:rPr>
          <w:rStyle w:val="22Char"/>
          <w:rFonts w:ascii="宋体" w:eastAsia="楷体_GB2312" w:hAnsi="宋体" w:hint="eastAsia"/>
          <w:b w:val="0"/>
        </w:rPr>
        <w:t>。</w:t>
      </w:r>
      <w:r>
        <w:rPr>
          <w:rFonts w:ascii="宋体" w:eastAsia="仿宋_GB2312" w:cs="宋体" w:hAnsi="宋体" w:hint="eastAsia"/>
          <w:kern w:val="0"/>
          <w:sz w:val="32"/>
          <w:szCs w:val="32"/>
        </w:rPr>
        <w:t>尽快解决我省检测能力分布不均、合格评定技术机构“小、散、弱”、高端检测能力不足、检验检测认证技术机构市场化程度不高、相关技术人才匮乏等问题，尽快解决“检不了”“检不快”等问题。推动检验检测机构集约化发展，整合市场监管系统实验室，组建政府实验室，检测设备共享共用，提高设备使用效率，提升检验检测能力。依托中国热带</w:t>
      </w:r>
      <w:r>
        <w:rPr>
          <w:rFonts w:ascii="宋体" w:eastAsia="仿宋_GB2312" w:cs="宋体" w:hAnsi="宋体"/>
          <w:kern w:val="0"/>
          <w:sz w:val="32"/>
          <w:szCs w:val="32"/>
        </w:rPr>
        <w:t>农业科学院</w:t>
      </w:r>
      <w:r>
        <w:rPr>
          <w:rFonts w:ascii="宋体" w:eastAsia="仿宋_GB2312" w:cs="宋体" w:hAnsi="宋体" w:hint="eastAsia"/>
          <w:kern w:val="0"/>
          <w:sz w:val="32"/>
          <w:szCs w:val="32"/>
        </w:rPr>
        <w:t>、海南大学等科研院所，培养提升实验室能力，探索建设联合检验集团。引进国外认证非政府组织和有实力的检验机构入驻。完善药品医疗器械审评服务中心、省级药品不良反应监测中心建设，提升药品医疗器械审评审批能力和药品安全性评价能力。新建省药品、医疗器械和化妆品检验大楼，解决省级药品、医疗器械和化妆品检验场地不足、制约检验能力提升问题。</w:t>
      </w:r>
    </w:p>
    <w:p>
      <w:pPr>
        <w:spacing w:line="300" w:lineRule="exact"/>
        <w:ind w:firstLineChars="200" w:firstLine="640"/>
        <w:textAlignment w:val="baseline"/>
        <w:rPr>
          <w:rFonts w:ascii="宋体" w:eastAsia="仿宋_GB2312" w:cs="宋体" w:hAnsi="宋体"/>
          <w:kern w:val="0"/>
          <w:sz w:val="32"/>
          <w:szCs w:val="32"/>
        </w:rPr>
      </w:pPr>
    </w:p>
    <w:tbl>
      <w:tblPr>
        <w:jc w:val="cente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64"/>
        <w:gridCol w:w="12"/>
      </w:tblGrid>
      <w:tr>
        <w:trPr>
          <w:trHeight w:val="609"/>
          <w:gridAfter w:val="1"/>
          <w:wAfter w:w="12" w:type="dxa"/>
        </w:trPr>
        <w:tc>
          <w:tcPr>
            <w:tcW w:w="8864" w:type="dxa"/>
            <w:vAlign w:val="center"/>
          </w:tcPr>
          <w:p>
            <w:pPr>
              <w:jc w:val="center"/>
              <w:textAlignment w:val="baseline"/>
              <w:rPr>
                <w:rFonts w:ascii="宋体" w:eastAsia="楷体_GB2312" w:hAnsi="宋体"/>
                <w:bCs/>
                <w:sz w:val="28"/>
                <w:szCs w:val="24"/>
              </w:rPr>
            </w:pPr>
            <w:r>
              <w:rPr>
                <w:rFonts w:ascii="宋体" w:eastAsia="楷体_GB2312" w:hAnsi="宋体" w:hint="eastAsia"/>
                <w:bCs/>
                <w:sz w:val="28"/>
                <w:szCs w:val="24"/>
              </w:rPr>
              <w:t>专栏13  食品药品重点实验室建设和能力提升工程</w:t>
            </w:r>
          </w:p>
        </w:tc>
      </w:tr>
      <w:tr>
        <w:trPr>
          <w:trHeight w:val="609"/>
          <w:gridAfter w:val="1"/>
          <w:wAfter w:w="12" w:type="dxa"/>
        </w:trPr>
        <w:tc>
          <w:tcPr>
            <w:tcW w:w="8864" w:type="dxa"/>
            <w:vAlign w:val="center"/>
          </w:tcPr>
          <w:p>
            <w:pPr>
              <w:pStyle w:val="33"/>
              <w:spacing w:line="38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以省级检验机构为骨干、市县检验机构为基础，建立完善全省食品药品安全检验检测体系。加强省、市县食品药品安全专业技术机构检验检测能力建设，加快建立食品安全风险监测点。支持食品检验检测能力扩建、增项、升级，加强食品安全科研创新，促进食品安全成果转化、推广、应用。</w:t>
            </w:r>
          </w:p>
          <w:p>
            <w:pPr>
              <w:pStyle w:val="33"/>
              <w:spacing w:line="38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建设一批食品药品等安全技术支撑机构和重点实验室，努力推动省热带果蔬质量与安全检测实验室建成为国家市场监管重点实验室。对标食品、药品、化妆品和医疗器械检验检测机构能力建设指导原则的要求，配齐食品、药品、化妆品和医疗器械检验仪器设备。加强食品、药品、化妆品和医疗器械检验信息化建设，提升实验室管理水平，提高检验质量与效率。</w:t>
            </w:r>
          </w:p>
          <w:p>
            <w:pPr>
              <w:pStyle w:val="33"/>
              <w:spacing w:line="380" w:lineRule="exact"/>
              <w:textAlignment w:val="baseline"/>
              <w:rPr>
                <w:rFonts w:ascii="宋体" w:eastAsia="楷体_GB2312" w:hAnsi="宋体"/>
                <w:bCs/>
                <w:sz w:val="28"/>
                <w:szCs w:val="24"/>
              </w:rPr>
            </w:pPr>
            <w:r>
              <w:rPr>
                <w:rFonts w:ascii="宋体" w:eastAsia="仿宋_GB2312" w:cs="宋体" w:hAnsi="宋体" w:hint="eastAsia"/>
                <w:kern w:val="0"/>
                <w:sz w:val="28"/>
                <w:szCs w:val="28"/>
              </w:rPr>
              <w:t>进一步提升药品（含生物制品）、化妆品、医疗器械检验检测能力，更好地适应海南自由贸易港建设和发展需要。推进异地建设药品化妆品医疗器械检验检测实验大楼项目，彻底解决省级药品检验机构实验场地面积不足问题。</w:t>
            </w:r>
          </w:p>
        </w:tc>
      </w:tr>
      <w:tr>
        <w:trPr>
          <w:trHeight w:val="624"/>
        </w:trPr>
        <w:tc>
          <w:tcPr>
            <w:tcW w:w="8876" w:type="dxa"/>
            <w:gridSpan w:val="2"/>
            <w:vAlign w:val="center"/>
          </w:tcPr>
          <w:p>
            <w:pPr>
              <w:jc w:val="center"/>
              <w:textAlignment w:val="baseline"/>
              <w:rPr>
                <w:rFonts w:ascii="宋体" w:eastAsia="楷体_GB2312" w:cs="宋体" w:hAnsi="宋体"/>
                <w:kern w:val="0"/>
                <w:sz w:val="28"/>
                <w:szCs w:val="28"/>
              </w:rPr>
            </w:pPr>
            <w:r>
              <w:rPr>
                <w:rFonts w:ascii="宋体" w:eastAsia="楷体_GB2312" w:hAnsi="宋体" w:hint="eastAsia"/>
                <w:bCs/>
                <w:sz w:val="28"/>
                <w:szCs w:val="24"/>
              </w:rPr>
              <w:t>专栏14  药品监管信息化建设工程</w:t>
            </w:r>
          </w:p>
        </w:tc>
      </w:tr>
      <w:tr>
        <w:trPr>
          <w:trHeight w:val="2757"/>
        </w:trPr>
        <w:tc>
          <w:tcPr>
            <w:tcW w:w="8876" w:type="dxa"/>
            <w:gridSpan w:val="2"/>
            <w:vAlign w:val="center"/>
          </w:tcPr>
          <w:p>
            <w:pPr>
              <w:spacing w:line="400" w:lineRule="exact"/>
              <w:ind w:firstLineChars="200" w:firstLine="560"/>
              <w:textAlignment w:val="baseline"/>
              <w:rPr>
                <w:rFonts w:ascii="宋体" w:eastAsia="仿宋_GB2312" w:cs="宋体" w:hAnsi="宋体"/>
                <w:kern w:val="0"/>
                <w:sz w:val="28"/>
                <w:szCs w:val="28"/>
              </w:rPr>
            </w:pPr>
            <w:r>
              <w:rPr>
                <w:rFonts w:ascii="宋体" w:eastAsia="仿宋_GB2312" w:cs="宋体" w:hAnsi="宋体" w:hint="eastAsia"/>
                <w:kern w:val="0"/>
                <w:sz w:val="28"/>
                <w:szCs w:val="28"/>
              </w:rPr>
              <w:t>推进药品智慧监管平台建设，建立省级药品监管数据中心，实现数据汇集运用和共享交换，综合查询分析、风险预警和提供公共服务。建设药械追溯管理平台，加强药品医疗器械追溯管理。完善药品监管业务系统，在药品监管业务系统中加入药品安全性监测、药品年报</w:t>
            </w:r>
            <w:r>
              <w:rPr>
                <w:rFonts w:ascii="宋体" w:eastAsia="仿宋_GB2312" w:cs="宋体" w:hAnsi="宋体"/>
                <w:kern w:val="0"/>
                <w:sz w:val="28"/>
                <w:szCs w:val="28"/>
              </w:rPr>
              <w:t>/</w:t>
            </w:r>
            <w:r>
              <w:rPr>
                <w:rFonts w:ascii="宋体" w:eastAsia="仿宋_GB2312" w:cs="宋体" w:hAnsi="宋体" w:hint="eastAsia"/>
                <w:kern w:val="0"/>
                <w:sz w:val="28"/>
                <w:szCs w:val="28"/>
              </w:rPr>
              <w:t>标签</w:t>
            </w:r>
            <w:r>
              <w:rPr>
                <w:rFonts w:ascii="宋体" w:eastAsia="仿宋_GB2312" w:cs="宋体" w:hAnsi="宋体"/>
                <w:kern w:val="0"/>
                <w:sz w:val="28"/>
                <w:szCs w:val="28"/>
              </w:rPr>
              <w:t>/</w:t>
            </w:r>
            <w:r>
              <w:rPr>
                <w:rFonts w:ascii="宋体" w:eastAsia="仿宋_GB2312" w:cs="宋体" w:hAnsi="宋体" w:hint="eastAsia"/>
                <w:kern w:val="0"/>
                <w:sz w:val="28"/>
                <w:szCs w:val="28"/>
              </w:rPr>
              <w:t>说明书采集、应急管理、非现场检查监管等功能模块，使监管业务系统更加细化和完备。</w:t>
            </w:r>
          </w:p>
        </w:tc>
      </w:tr>
    </w:tbl>
    <w:p>
      <w:pPr>
        <w:spacing w:line="480" w:lineRule="exact"/>
        <w:ind w:firstLineChars="200" w:firstLine="640"/>
        <w:textAlignment w:val="baseline"/>
        <w:rPr>
          <w:rFonts w:ascii="宋体" w:eastAsia="仿宋_GB2312" w:cs="宋体" w:hAnsi="宋体"/>
          <w:kern w:val="0"/>
          <w:sz w:val="32"/>
          <w:szCs w:val="32"/>
        </w:rPr>
      </w:pPr>
    </w:p>
    <w:tbl>
      <w:tblPr>
        <w:jc w:val="cente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890"/>
      </w:tblGrid>
      <w:tr>
        <w:trPr>
          <w:trHeight w:val="503"/>
        </w:trPr>
        <w:tc>
          <w:tcPr>
            <w:tcW w:w="8890" w:type="dxa"/>
            <w:vAlign w:val="center"/>
          </w:tcPr>
          <w:p>
            <w:pPr>
              <w:jc w:val="center"/>
              <w:textAlignment w:val="baseline"/>
              <w:rPr>
                <w:rFonts w:ascii="宋体" w:eastAsia="楷体_GB2312" w:hAnsi="宋体"/>
                <w:bCs/>
                <w:sz w:val="28"/>
                <w:szCs w:val="24"/>
              </w:rPr>
            </w:pPr>
            <w:r>
              <w:rPr>
                <w:rFonts w:ascii="宋体" w:eastAsia="楷体_GB2312" w:hAnsi="宋体" w:hint="eastAsia"/>
                <w:bCs/>
                <w:sz w:val="28"/>
                <w:szCs w:val="24"/>
              </w:rPr>
              <w:t>专栏15  禁塑重点实验室建设工程</w:t>
            </w:r>
          </w:p>
        </w:tc>
      </w:tr>
      <w:tr>
        <w:trPr>
          <w:trHeight w:val="1777"/>
        </w:trPr>
        <w:tc>
          <w:tcPr>
            <w:tcW w:w="8890" w:type="dxa"/>
            <w:vAlign w:val="center"/>
          </w:tcPr>
          <w:p>
            <w:pPr>
              <w:pStyle w:val="33"/>
              <w:spacing w:line="400" w:lineRule="exact"/>
              <w:textAlignment w:val="baseline"/>
              <w:rPr>
                <w:rFonts w:ascii="宋体" w:eastAsia="仿宋_GB2312" w:cs="宋体" w:hAnsi="宋体"/>
                <w:kern w:val="0"/>
                <w:sz w:val="28"/>
                <w:szCs w:val="28"/>
              </w:rPr>
            </w:pPr>
            <w:r>
              <w:rPr>
                <w:rFonts w:ascii="宋体" w:eastAsia="仿宋_GB2312" w:cs="宋体" w:hAnsi="宋体" w:hint="eastAsia"/>
                <w:kern w:val="0"/>
                <w:sz w:val="28"/>
                <w:szCs w:val="28"/>
              </w:rPr>
              <w:t>加快推进全生物降解塑料产业标准体系建设，为我省落实全面禁塑工作提供技术支撑。加强与中国科学院理化技术研究所、海南大学的科研合作，推进一流生物降解材料检测技术攻关，努力推动省产品质量监督检验所建成为国家市场监管重点实验室。</w:t>
            </w:r>
          </w:p>
        </w:tc>
      </w:tr>
    </w:tbl>
    <w:p>
      <w:pPr>
        <w:spacing w:line="480" w:lineRule="exact"/>
        <w:ind w:firstLineChars="200" w:firstLine="640"/>
        <w:textAlignment w:val="baseline"/>
        <w:rPr>
          <w:rStyle w:val="22Char"/>
          <w:rFonts w:ascii="宋体" w:hAnsi="宋体"/>
          <w:b w:val="0"/>
        </w:rPr>
      </w:pPr>
      <w:bookmarkStart w:id="34" w:name="_Toc67532166"/>
    </w:p>
    <w:p>
      <w:pPr>
        <w:spacing w:line="579" w:lineRule="exact"/>
        <w:ind w:firstLineChars="200" w:firstLine="640"/>
        <w:textAlignment w:val="baseline"/>
        <w:rPr>
          <w:rFonts w:ascii="宋体" w:eastAsia="仿宋_GB2312" w:cs="宋体" w:hAnsi="宋体"/>
          <w:kern w:val="0"/>
          <w:sz w:val="32"/>
          <w:szCs w:val="32"/>
        </w:rPr>
      </w:pPr>
      <w:r>
        <w:rPr>
          <w:rStyle w:val="22Char"/>
          <w:rFonts w:ascii="宋体" w:eastAsia="楷体_GB2312" w:hAnsi="宋体" w:hint="eastAsia"/>
          <w:b w:val="0"/>
        </w:rPr>
        <w:t>（三十一）建立基层信息化工作机制</w:t>
      </w:r>
      <w:bookmarkEnd w:id="34"/>
      <w:r>
        <w:rPr>
          <w:rStyle w:val="22Char"/>
          <w:rFonts w:ascii="宋体" w:eastAsia="楷体_GB2312" w:hAnsi="宋体" w:hint="eastAsia"/>
          <w:b w:val="0"/>
        </w:rPr>
        <w:t>。</w:t>
      </w:r>
      <w:r>
        <w:rPr>
          <w:rFonts w:ascii="宋体" w:eastAsia="仿宋_GB2312" w:cs="宋体" w:hAnsi="宋体" w:hint="eastAsia"/>
          <w:kern w:val="0"/>
          <w:sz w:val="32"/>
          <w:szCs w:val="32"/>
        </w:rPr>
        <w:t>将目前分散的信息化业务系统整合，到2025年将信息化业务系统整合到5个以内，彻底解决基层重复填报的局面。建立基层市场监管所之间、市县市场监管局之间的实时横向信息共享机制。实现市场监管所承担的个体工商户开办等业务工作全程一体化网上办理。实现注册许可条线接入政府事中事后监管平台，对于涉及“先照后证”审批的项目内容，通过平台向其他职能部门进行抄送告知。</w:t>
      </w:r>
    </w:p>
    <w:p>
      <w:pPr>
        <w:pStyle w:val="37"/>
        <w:keepNext w:val="0"/>
        <w:keepLines w:val="0"/>
        <w:widowControl w:val="0"/>
        <w:spacing w:before="100" w:beforeAutospacing="1" w:after="100" w:afterAutospacing="1" w:line="579" w:lineRule="exact"/>
        <w:textAlignment w:val="baseline"/>
        <w:rPr>
          <w:rFonts w:ascii="宋体" w:hAnsi="宋体"/>
          <w:b w:val="0"/>
          <w:szCs w:val="32"/>
        </w:rPr>
      </w:pPr>
      <w:bookmarkStart w:id="35" w:name="_Toc67532167"/>
      <w:r>
        <w:rPr>
          <w:rFonts w:ascii="宋体" w:hAnsi="宋体" w:hint="eastAsia"/>
          <w:b w:val="0"/>
          <w:szCs w:val="32"/>
        </w:rPr>
        <w:t>九、坚持依法行政，完善市场监管体制</w:t>
      </w:r>
      <w:bookmarkEnd w:id="35"/>
    </w:p>
    <w:p>
      <w:pPr>
        <w:spacing w:line="579" w:lineRule="exact"/>
        <w:ind w:firstLineChars="200" w:firstLine="640"/>
        <w:textAlignment w:val="baseline"/>
        <w:rPr>
          <w:rFonts w:ascii="宋体" w:eastAsia="仿宋_GB2312" w:cs="宋体" w:hAnsi="宋体"/>
          <w:kern w:val="0"/>
          <w:sz w:val="32"/>
          <w:szCs w:val="32"/>
        </w:rPr>
      </w:pPr>
      <w:bookmarkStart w:id="36" w:name="_Toc67532168"/>
      <w:r>
        <w:rPr>
          <w:rStyle w:val="22Char"/>
          <w:rFonts w:ascii="宋体" w:eastAsia="楷体_GB2312" w:hAnsi="宋体" w:hint="eastAsia"/>
          <w:b w:val="0"/>
        </w:rPr>
        <w:t>（三十二）坚持依法行政</w:t>
      </w:r>
      <w:bookmarkEnd w:id="36"/>
      <w:r>
        <w:rPr>
          <w:rStyle w:val="22Char"/>
          <w:rFonts w:ascii="宋体" w:eastAsia="楷体_GB2312" w:hAnsi="宋体" w:hint="eastAsia"/>
          <w:b w:val="0"/>
        </w:rPr>
        <w:t>。</w:t>
      </w:r>
      <w:r>
        <w:rPr>
          <w:rFonts w:ascii="宋体" w:eastAsia="仿宋_GB2312" w:cs="宋体" w:hAnsi="宋体" w:hint="eastAsia"/>
          <w:kern w:val="0"/>
          <w:sz w:val="32"/>
          <w:szCs w:val="32"/>
        </w:rPr>
        <w:t>正确处理市场监管的法律关系，避免经济法律与刑法调整市场秩序的交叉杂糅，避免行政权与民事权的交叉杂糅。重大改革于法有据，严格依法行政，推进执法行为规范化，强化执法监督，规范权力行使。实施涉企经营许可事项清单、市场监管行政执法事项清单、行政处罚自由裁量基准动态管理。厘清执法风险清单。严格依据法定程序、权限、职责办事，法无授权不可为，法定职责必须为。健全综合执法、协同执法机制，提升行政执法能力和水平，解决市场违法行为多样性隐蔽性日益凸显的问题。建立更加严密的执法监督机制，完善行政执法与刑事司法衔接机制。全面落实行政执法责任制。</w:t>
      </w:r>
    </w:p>
    <w:p>
      <w:pPr>
        <w:spacing w:line="579" w:lineRule="exact"/>
        <w:ind w:firstLineChars="200" w:firstLine="640"/>
        <w:textAlignment w:val="baseline"/>
        <w:rPr>
          <w:rFonts w:ascii="宋体" w:eastAsia="仿宋_GB2312" w:cs="宋体" w:hAnsi="宋体"/>
          <w:kern w:val="0"/>
          <w:sz w:val="32"/>
          <w:szCs w:val="32"/>
        </w:rPr>
      </w:pPr>
      <w:bookmarkStart w:id="37" w:name="_Toc67532169"/>
      <w:r>
        <w:rPr>
          <w:rStyle w:val="22Char"/>
          <w:rFonts w:ascii="宋体" w:eastAsia="楷体_GB2312" w:hAnsi="宋体" w:hint="eastAsia"/>
          <w:b w:val="0"/>
        </w:rPr>
        <w:t>（三十三）厘清层级事权</w:t>
      </w:r>
      <w:bookmarkEnd w:id="37"/>
      <w:r>
        <w:rPr>
          <w:rStyle w:val="22Char"/>
          <w:rFonts w:ascii="宋体" w:eastAsia="楷体_GB2312" w:hAnsi="宋体" w:hint="eastAsia"/>
          <w:b w:val="0"/>
        </w:rPr>
        <w:t>。</w:t>
      </w:r>
      <w:r>
        <w:rPr>
          <w:rFonts w:ascii="宋体" w:eastAsia="仿宋_GB2312" w:cs="宋体" w:hAnsi="宋体" w:hint="eastAsia"/>
          <w:kern w:val="0"/>
          <w:sz w:val="32"/>
          <w:szCs w:val="32"/>
        </w:rPr>
        <w:t>制定省级、市县</w:t>
      </w:r>
      <w:r>
        <w:rPr>
          <w:rFonts w:ascii="宋体" w:eastAsia="仿宋_GB2312" w:cs="宋体" w:hAnsi="宋体"/>
          <w:kern w:val="0"/>
          <w:sz w:val="32"/>
          <w:szCs w:val="32"/>
        </w:rPr>
        <w:t>级</w:t>
      </w:r>
      <w:r>
        <w:rPr>
          <w:rFonts w:ascii="宋体" w:eastAsia="仿宋_GB2312" w:cs="宋体" w:hAnsi="宋体" w:hint="eastAsia"/>
          <w:kern w:val="0"/>
          <w:sz w:val="32"/>
          <w:szCs w:val="32"/>
        </w:rPr>
        <w:t>、市场监管所等市场监管层级事权清单，规范各级权限，事权与职责对应。属于本级事权不得下压一级。</w:t>
      </w:r>
    </w:p>
    <w:p>
      <w:pPr>
        <w:spacing w:line="579" w:lineRule="exact"/>
        <w:ind w:firstLineChars="200" w:firstLine="640"/>
        <w:textAlignment w:val="baseline"/>
        <w:rPr>
          <w:rFonts w:ascii="宋体" w:eastAsia="仿宋_GB2312" w:cs="宋体" w:hAnsi="宋体"/>
          <w:kern w:val="0"/>
          <w:sz w:val="32"/>
          <w:szCs w:val="32"/>
        </w:rPr>
      </w:pPr>
      <w:bookmarkStart w:id="38" w:name="_Toc67532170"/>
      <w:r>
        <w:rPr>
          <w:rStyle w:val="22Char"/>
          <w:rFonts w:ascii="宋体" w:eastAsia="楷体_GB2312" w:hAnsi="宋体" w:hint="eastAsia"/>
          <w:b w:val="0"/>
        </w:rPr>
        <w:t>（三十四）完善市场监管体制</w:t>
      </w:r>
      <w:bookmarkEnd w:id="38"/>
      <w:r>
        <w:rPr>
          <w:rStyle w:val="22Char"/>
          <w:rFonts w:ascii="宋体" w:eastAsia="楷体_GB2312" w:hAnsi="宋体" w:hint="eastAsia"/>
          <w:b w:val="0"/>
        </w:rPr>
        <w:t>。</w:t>
      </w:r>
      <w:r>
        <w:rPr>
          <w:rFonts w:ascii="宋体" w:eastAsia="仿宋_GB2312" w:cs="宋体" w:hAnsi="宋体" w:hint="eastAsia"/>
          <w:kern w:val="0"/>
          <w:sz w:val="32"/>
          <w:szCs w:val="32"/>
        </w:rPr>
        <w:t>探索建立垂直和分级双轨并行执法体制。稳妥实施综合行政执法体制专项配套改革，促进实现案件线索传递、案件移送无缝衔接、执法标准统一，增强市场监管合力。稳妥实施事业单位、法定机构改革，稳妥解决市场监管执法机构人员混编问题。</w:t>
      </w:r>
    </w:p>
    <w:p>
      <w:pPr>
        <w:spacing w:line="579" w:lineRule="exact"/>
        <w:ind w:firstLineChars="200" w:firstLine="640"/>
        <w:textAlignment w:val="baseline"/>
        <w:rPr>
          <w:rFonts w:ascii="宋体" w:eastAsia="仿宋_GB2312" w:cs="宋体" w:hAnsi="宋体"/>
          <w:kern w:val="0"/>
          <w:sz w:val="32"/>
          <w:szCs w:val="32"/>
        </w:rPr>
      </w:pPr>
      <w:bookmarkStart w:id="39" w:name="_Toc67532171"/>
      <w:r>
        <w:rPr>
          <w:rStyle w:val="22Char"/>
          <w:rFonts w:ascii="宋体" w:eastAsia="楷体_GB2312" w:hAnsi="宋体" w:hint="eastAsia"/>
          <w:b w:val="0"/>
        </w:rPr>
        <w:t>（三十五）健全法规</w:t>
      </w:r>
      <w:bookmarkEnd w:id="39"/>
      <w:r>
        <w:rPr>
          <w:rStyle w:val="22Char"/>
          <w:rFonts w:ascii="宋体" w:eastAsia="楷体_GB2312" w:hAnsi="宋体" w:hint="eastAsia"/>
          <w:b w:val="0"/>
        </w:rPr>
        <w:t>规章。</w:t>
      </w:r>
      <w:r>
        <w:rPr>
          <w:rFonts w:ascii="宋体" w:eastAsia="仿宋_GB2312" w:cs="宋体" w:hAnsi="宋体" w:hint="eastAsia"/>
          <w:kern w:val="0"/>
          <w:sz w:val="32"/>
          <w:szCs w:val="32"/>
        </w:rPr>
        <w:t>加快制定海南自由贸易港公平竞争条例、海南自由贸易港商事注销条例、海南自由贸易港反消费</w:t>
      </w:r>
      <w:r>
        <w:rPr>
          <w:rFonts w:ascii="宋体" w:eastAsia="仿宋_GB2312" w:cs="宋体" w:hAnsi="宋体"/>
          <w:kern w:val="0"/>
          <w:sz w:val="32"/>
          <w:szCs w:val="32"/>
        </w:rPr>
        <w:t>欺诈规定</w:t>
      </w:r>
      <w:r>
        <w:rPr>
          <w:rFonts w:ascii="宋体" w:eastAsia="仿宋_GB2312" w:cs="宋体" w:hAnsi="宋体" w:hint="eastAsia"/>
          <w:kern w:val="0"/>
          <w:sz w:val="32"/>
          <w:szCs w:val="32"/>
        </w:rPr>
        <w:t>、海南自由贸易港知识产权保护条例，修订《海南省食品生产加工小作坊和食品摊贩监督管理条例》《海南省计量管理条例》《海南省产品质量监督管理条例》《海南经济特区标准化管理办法》等地方性法规、</w:t>
      </w:r>
      <w:r>
        <w:rPr>
          <w:rFonts w:ascii="宋体" w:eastAsia="仿宋_GB2312" w:cs="宋体" w:hAnsi="宋体"/>
          <w:kern w:val="0"/>
          <w:sz w:val="32"/>
          <w:szCs w:val="32"/>
        </w:rPr>
        <w:t>政府</w:t>
      </w:r>
      <w:r>
        <w:rPr>
          <w:rFonts w:ascii="宋体" w:eastAsia="仿宋_GB2312" w:cs="宋体" w:hAnsi="宋体" w:hint="eastAsia"/>
          <w:kern w:val="0"/>
          <w:sz w:val="32"/>
          <w:szCs w:val="32"/>
        </w:rPr>
        <w:t>规章。</w:t>
      </w:r>
    </w:p>
    <w:p>
      <w:pPr>
        <w:spacing w:line="579" w:lineRule="exact"/>
        <w:ind w:firstLineChars="200" w:firstLine="640"/>
        <w:textAlignment w:val="baseline"/>
        <w:rPr>
          <w:rFonts w:ascii="宋体" w:eastAsia="仿宋_GB2312" w:cs="宋体" w:hAnsi="宋体"/>
          <w:kern w:val="0"/>
          <w:sz w:val="32"/>
          <w:szCs w:val="32"/>
        </w:rPr>
      </w:pPr>
      <w:bookmarkStart w:id="40" w:name="_Toc67532172"/>
      <w:r>
        <w:rPr>
          <w:rStyle w:val="22Char"/>
          <w:rFonts w:ascii="宋体" w:eastAsia="楷体_GB2312" w:hAnsi="宋体" w:hint="eastAsia"/>
          <w:b w:val="0"/>
        </w:rPr>
        <w:t>（三十六）加强市场监管所建设</w:t>
      </w:r>
      <w:bookmarkEnd w:id="40"/>
      <w:r>
        <w:rPr>
          <w:rStyle w:val="22Char"/>
          <w:rFonts w:ascii="宋体" w:eastAsia="楷体_GB2312" w:hAnsi="宋体" w:hint="eastAsia"/>
          <w:b w:val="0"/>
        </w:rPr>
        <w:t>。</w:t>
      </w:r>
      <w:r>
        <w:rPr>
          <w:rFonts w:ascii="宋体" w:eastAsia="仿宋_GB2312" w:cs="宋体" w:hAnsi="宋体" w:hint="eastAsia"/>
          <w:kern w:val="0"/>
          <w:sz w:val="32"/>
          <w:szCs w:val="32"/>
        </w:rPr>
        <w:t>坚持市场监管所派出机构定位，稳步解决市场监管所人员混编的问题，解决无独立办公场所的问题。加强市场监管所规范化标准化建设，确保完成个体工商户登记、消费调解、食品安全监管等市场监管任务，确保执法巡查、快速反应有专用执法车辆保障，确保市场监管所信息化建设有制度保障，促进数据直报。</w:t>
      </w:r>
    </w:p>
    <w:p>
      <w:pPr>
        <w:spacing w:line="579" w:lineRule="exact"/>
        <w:ind w:firstLine="645"/>
        <w:textAlignment w:val="baseline"/>
        <w:rPr>
          <w:rFonts w:ascii="宋体" w:eastAsia="仿宋_GB2312" w:cs="宋体" w:hAnsi="宋体"/>
          <w:kern w:val="0"/>
          <w:sz w:val="32"/>
          <w:szCs w:val="32"/>
        </w:rPr>
      </w:pPr>
      <w:bookmarkStart w:id="41" w:name="_Toc67532173"/>
      <w:r>
        <w:rPr>
          <w:rStyle w:val="22Char"/>
          <w:rFonts w:ascii="宋体" w:eastAsia="楷体_GB2312" w:hAnsi="宋体" w:hint="eastAsia"/>
          <w:b w:val="0"/>
        </w:rPr>
        <w:t>（三十七）加强宣传和培训</w:t>
      </w:r>
      <w:bookmarkEnd w:id="41"/>
      <w:r>
        <w:rPr>
          <w:rStyle w:val="22Char"/>
          <w:rFonts w:ascii="宋体" w:eastAsia="楷体_GB2312" w:hAnsi="宋体" w:hint="eastAsia"/>
          <w:b w:val="0"/>
        </w:rPr>
        <w:t>。</w:t>
      </w:r>
      <w:r>
        <w:rPr>
          <w:rFonts w:ascii="宋体" w:eastAsia="仿宋_GB2312" w:cs="宋体" w:hAnsi="宋体" w:hint="eastAsia"/>
          <w:kern w:val="0"/>
          <w:sz w:val="32"/>
          <w:szCs w:val="32"/>
        </w:rPr>
        <w:t>落实普法责任制，推动形成良好法治氛围。加强消费宣传，提升消费者的自我保护意识和辨假识假能力。加强市场监管宣传，营造理解市场监管、支持市场监管的社会氛围。加强培训的统筹指导，建立面向市场监管和综合执法部门常态化培训机制，提高市场监管和综合执法工作人员对中央决策部署的理解力和执行力，提升在市场监管工作的落实能力，促进市场监管和综合执法队伍的专业化、规范化。将法治思维和法治方式贯穿始终，精准把握立法宗旨、法律运用，把握好行政处罚自由裁量权，防止行政处罚畸轻畸重。对主观恶意的严重违法行为严厉打击，对一般违法行为分清情况，依法裁量，既体现严管重罚，也要把握免罚轻罚，避免简单粗暴“一刀切”，确保行政处罚的政治效果、社会效果和法律效果的统一。</w:t>
      </w:r>
    </w:p>
    <w:p>
      <w:pPr>
        <w:pStyle w:val="37"/>
        <w:keepNext w:val="0"/>
        <w:keepLines w:val="0"/>
        <w:widowControl w:val="0"/>
        <w:spacing w:before="100" w:beforeAutospacing="1" w:after="100" w:afterAutospacing="1" w:line="579" w:lineRule="exact"/>
        <w:textAlignment w:val="baseline"/>
        <w:rPr>
          <w:rFonts w:ascii="宋体" w:eastAsia="仿宋_GB2312" w:hAnsi="宋体"/>
          <w:b w:val="0"/>
          <w:szCs w:val="32"/>
        </w:rPr>
      </w:pPr>
      <w:bookmarkStart w:id="42" w:name="_Toc67532174"/>
      <w:r>
        <w:rPr>
          <w:rFonts w:ascii="宋体" w:hAnsi="宋体" w:hint="eastAsia"/>
          <w:b w:val="0"/>
          <w:szCs w:val="32"/>
        </w:rPr>
        <w:t>十、加强组织领导，确保规划落地落实</w:t>
      </w:r>
      <w:bookmarkEnd w:id="42"/>
    </w:p>
    <w:p>
      <w:pPr>
        <w:spacing w:line="579" w:lineRule="exact"/>
        <w:ind w:firstLineChars="200" w:firstLine="640"/>
        <w:textAlignment w:val="baseline"/>
        <w:rPr>
          <w:rFonts w:ascii="宋体" w:eastAsia="仿宋_GB2312" w:cs="宋体" w:hAnsi="宋体"/>
          <w:kern w:val="0"/>
          <w:sz w:val="32"/>
          <w:szCs w:val="32"/>
        </w:rPr>
      </w:pPr>
      <w:bookmarkStart w:id="43" w:name="_Toc67532175"/>
      <w:r>
        <w:rPr>
          <w:rStyle w:val="22Char"/>
          <w:rFonts w:ascii="宋体" w:eastAsia="楷体_GB2312" w:hAnsi="宋体" w:hint="eastAsia"/>
          <w:b w:val="0"/>
        </w:rPr>
        <w:t>（三十八）加强组织领导</w:t>
      </w:r>
      <w:bookmarkEnd w:id="43"/>
      <w:r>
        <w:rPr>
          <w:rStyle w:val="22Char"/>
          <w:rFonts w:ascii="宋体" w:eastAsia="楷体_GB2312" w:hAnsi="宋体" w:hint="eastAsia"/>
          <w:b w:val="0"/>
        </w:rPr>
        <w:t>。</w:t>
      </w:r>
      <w:r>
        <w:rPr>
          <w:rFonts w:ascii="宋体" w:eastAsia="仿宋_GB2312" w:cs="宋体" w:hAnsi="宋体" w:hint="eastAsia"/>
          <w:kern w:val="0"/>
          <w:sz w:val="32"/>
          <w:szCs w:val="32"/>
        </w:rPr>
        <w:t>“十四五”时期市场监管规划是一项严肃的工作。省政府直属部门、各市县政府要加强对规划实施工作的组织领导，作为政府重要任务抓紧抓实，健全工作机制，强化部门协同和上下联动，统筹推进规划明确的重要任务和改革部署。要加大财政支持力度，确保改革举措抓紧推进，重点项目按期启动。</w:t>
      </w:r>
    </w:p>
    <w:p>
      <w:pPr>
        <w:spacing w:line="579" w:lineRule="exact"/>
        <w:ind w:firstLine="645"/>
        <w:textAlignment w:val="baseline"/>
        <w:rPr>
          <w:rFonts w:ascii="宋体" w:eastAsia="仿宋_GB2312" w:cs="宋体" w:hAnsi="宋体"/>
          <w:kern w:val="0"/>
          <w:sz w:val="32"/>
          <w:szCs w:val="32"/>
        </w:rPr>
      </w:pPr>
      <w:bookmarkStart w:id="44" w:name="_Toc67532176"/>
      <w:r>
        <w:rPr>
          <w:rStyle w:val="22Char"/>
          <w:rFonts w:ascii="宋体" w:eastAsia="楷体_GB2312" w:hAnsi="宋体" w:hint="eastAsia"/>
          <w:b w:val="0"/>
        </w:rPr>
        <w:t>（三十九）加强跟踪督查</w:t>
      </w:r>
      <w:bookmarkEnd w:id="44"/>
      <w:r>
        <w:rPr>
          <w:rStyle w:val="22Char"/>
          <w:rFonts w:ascii="宋体" w:eastAsia="楷体_GB2312" w:hAnsi="宋体" w:hint="eastAsia"/>
          <w:b w:val="0"/>
        </w:rPr>
        <w:t>。</w:t>
      </w:r>
      <w:r>
        <w:rPr>
          <w:rFonts w:ascii="宋体" w:eastAsia="仿宋_GB2312" w:cs="宋体" w:hAnsi="宋体" w:hint="eastAsia"/>
          <w:kern w:val="0"/>
          <w:sz w:val="32"/>
          <w:szCs w:val="32"/>
        </w:rPr>
        <w:t>对于规划明确的任务，要有对账意识。五年中每年完成的任务，要有任务表、分解图，及时调度指挥，适时进行年度、中期考核，确保规划有序有力推进，确保全面实现规划目标任务。</w:t>
      </w:r>
    </w:p>
    <w:p>
      <w:pPr>
        <w:spacing w:line="579" w:lineRule="exact"/>
        <w:jc w:val="center"/>
        <w:rPr>
          <w:rFonts w:ascii="宋体" w:eastAsia="方正小标宋简体" w:hAnsi="宋体"/>
          <w:sz w:val="44"/>
        </w:rPr>
      </w:pPr>
      <w:r>
        <w:rPr>
          <w:rFonts w:ascii="宋体"/>
        </w:rPr>
        <w:br w:type="page"/>
      </w:r>
      <w:bookmarkStart w:id="45" w:name="_Toc67532177"/>
      <w:r>
        <w:rPr>
          <w:rFonts w:ascii="宋体" w:eastAsia="方正小标宋简体" w:hAnsi="宋体" w:hint="eastAsia"/>
          <w:sz w:val="44"/>
          <w:szCs w:val="44"/>
        </w:rPr>
        <w:t>名词解释</w:t>
      </w:r>
      <w:bookmarkEnd w:id="45"/>
    </w:p>
    <w:p>
      <w:pPr>
        <w:spacing w:line="579" w:lineRule="exact"/>
        <w:jc w:val="center"/>
        <w:textAlignment w:val="baseline"/>
        <w:rPr>
          <w:rFonts w:ascii="宋体"/>
          <w:sz w:val="20"/>
        </w:rPr>
      </w:pPr>
    </w:p>
    <w:p>
      <w:pPr>
        <w:overflowPunct w:val="0"/>
        <w:spacing w:line="579" w:lineRule="exact"/>
        <w:ind w:firstLine="645"/>
        <w:textAlignment w:val="baseline"/>
        <w:rPr>
          <w:rFonts w:ascii="宋体" w:eastAsia="仿宋_GB2312" w:cs="宋体" w:hAnsi="宋体"/>
          <w:kern w:val="0"/>
          <w:sz w:val="32"/>
          <w:szCs w:val="32"/>
        </w:rPr>
      </w:pPr>
      <w:r>
        <w:rPr>
          <w:rFonts w:ascii="宋体" w:eastAsia="仿宋_GB2312" w:cs="宋体" w:hAnsi="宋体"/>
          <w:kern w:val="0"/>
          <w:sz w:val="32"/>
          <w:szCs w:val="32"/>
        </w:rPr>
        <w:t>1</w:t>
      </w:r>
      <w:r>
        <w:rPr>
          <w:rFonts w:ascii="宋体" w:eastAsia="仿宋_GB2312" w:cs="宋体" w:hAnsi="宋体" w:hint="eastAsia"/>
          <w:kern w:val="0"/>
          <w:sz w:val="32"/>
          <w:szCs w:val="32"/>
        </w:rPr>
        <w:t>．双随机、一公开：在监管过程中随机抽取检查对象，随机选派执法检查人员，抽查情况及查处结果及时向社会公开。</w:t>
      </w:r>
    </w:p>
    <w:p>
      <w:pPr>
        <w:overflowPunct w:val="0"/>
        <w:spacing w:line="579" w:lineRule="exact"/>
        <w:ind w:firstLine="645"/>
        <w:textAlignment w:val="baseline"/>
        <w:rPr>
          <w:rFonts w:ascii="宋体" w:eastAsia="仿宋_GB2312" w:cs="宋体" w:hAnsi="宋体"/>
          <w:kern w:val="0"/>
          <w:sz w:val="32"/>
          <w:szCs w:val="32"/>
        </w:rPr>
      </w:pPr>
      <w:r>
        <w:rPr>
          <w:rFonts w:ascii="宋体" w:eastAsia="仿宋_GB2312" w:cs="宋体" w:hAnsi="宋体"/>
          <w:kern w:val="0"/>
          <w:sz w:val="32"/>
          <w:szCs w:val="32"/>
        </w:rPr>
        <w:t>2</w:t>
      </w:r>
      <w:r>
        <w:rPr>
          <w:rFonts w:ascii="宋体" w:eastAsia="仿宋_GB2312" w:cs="宋体" w:hAnsi="宋体" w:hint="eastAsia"/>
          <w:kern w:val="0"/>
          <w:sz w:val="32"/>
          <w:szCs w:val="32"/>
        </w:rPr>
        <w:t>．行政执法“三项制度”：行政执法公示制度、执法全过程记录制度和重大执法决定法制审核制度。</w:t>
      </w:r>
    </w:p>
    <w:p>
      <w:pPr>
        <w:overflowPunct w:val="0"/>
        <w:spacing w:line="579" w:lineRule="exact"/>
        <w:ind w:firstLine="646"/>
        <w:textAlignment w:val="baseline"/>
        <w:rPr>
          <w:rFonts w:ascii="宋体" w:eastAsia="仿宋_GB2312" w:cs="宋体" w:hAnsi="宋体"/>
          <w:kern w:val="0"/>
          <w:sz w:val="32"/>
          <w:szCs w:val="32"/>
        </w:rPr>
      </w:pPr>
      <w:r>
        <w:rPr>
          <w:rFonts w:ascii="宋体" w:eastAsia="仿宋_GB2312" w:cs="宋体" w:hAnsi="宋体"/>
          <w:kern w:val="0"/>
          <w:sz w:val="32"/>
          <w:szCs w:val="32"/>
        </w:rPr>
        <w:t>3</w:t>
      </w:r>
      <w:r>
        <w:rPr>
          <w:rFonts w:ascii="宋体" w:eastAsia="仿宋_GB2312" w:cs="宋体" w:hAnsi="宋体" w:hint="eastAsia"/>
          <w:kern w:val="0"/>
          <w:sz w:val="32"/>
          <w:szCs w:val="32"/>
        </w:rPr>
        <w:t>．临床真实世界数据应用研究：真实世界数据指传统临床试验以外的，从多种来源收集的各种与患者健康状况和</w:t>
      </w:r>
      <w:r>
        <w:rPr>
          <w:rFonts w:ascii="宋体" w:eastAsia="仿宋_GB2312" w:cs="宋体" w:hAnsi="宋体"/>
          <w:kern w:val="0"/>
          <w:sz w:val="32"/>
          <w:szCs w:val="32"/>
        </w:rPr>
        <w:t>/</w:t>
      </w:r>
      <w:r>
        <w:rPr>
          <w:rFonts w:ascii="宋体" w:eastAsia="仿宋_GB2312" w:cs="宋体" w:hAnsi="宋体" w:hint="eastAsia"/>
          <w:kern w:val="0"/>
          <w:sz w:val="32"/>
          <w:szCs w:val="32"/>
        </w:rPr>
        <w:t>或常规诊疗及保健有关的数据。本规划所称的临床真实世界数据应用研究，是指博鳌乐城</w:t>
      </w:r>
      <w:r>
        <w:rPr>
          <w:rFonts w:ascii="宋体" w:eastAsia="仿宋_GB2312" w:cs="宋体" w:hAnsi="宋体"/>
          <w:kern w:val="0"/>
          <w:sz w:val="32"/>
          <w:szCs w:val="32"/>
        </w:rPr>
        <w:t>国际医疗旅游</w:t>
      </w:r>
      <w:r>
        <w:rPr>
          <w:rFonts w:ascii="宋体" w:eastAsia="仿宋_GB2312" w:cs="宋体" w:hAnsi="宋体" w:hint="eastAsia"/>
          <w:kern w:val="0"/>
          <w:sz w:val="32"/>
          <w:szCs w:val="32"/>
        </w:rPr>
        <w:t>先行区医疗机构按照相关管理制度和临床技术规范使用临床急需药品和医疗器械，所取得临床数据通过严格的数据采集和系统处理、正确的统计分析以及多维度的结果评价，符合我国药品、医疗器械注册申报和监管要求时，可用于产品注册和监管决策的过程。</w:t>
      </w:r>
    </w:p>
    <w:p>
      <w:pPr>
        <w:overflowPunct w:val="0"/>
        <w:spacing w:line="579" w:lineRule="exact"/>
        <w:ind w:firstLine="645"/>
        <w:textAlignment w:val="baseline"/>
        <w:rPr>
          <w:rFonts w:ascii="宋体" w:eastAsia="仿宋_GB2312" w:cs="宋体" w:hAnsi="宋体"/>
          <w:kern w:val="0"/>
          <w:sz w:val="32"/>
          <w:szCs w:val="32"/>
        </w:rPr>
      </w:pPr>
      <w:r>
        <w:rPr>
          <w:rFonts w:ascii="宋体" w:eastAsia="仿宋_GB2312" w:cs="宋体" w:hAnsi="宋体" w:hint="eastAsia"/>
          <w:kern w:val="0"/>
          <w:sz w:val="32"/>
          <w:szCs w:val="32"/>
        </w:rPr>
        <w:t>4．五大制度创新：商事登记自主申报、自动审核、全省通办、电子签名、电子档案。</w:t>
      </w:r>
    </w:p>
    <w:p>
      <w:pPr>
        <w:overflowPunct w:val="0"/>
        <w:spacing w:line="579" w:lineRule="exact"/>
        <w:ind w:firstLine="645"/>
        <w:textAlignment w:val="baseline"/>
        <w:rPr>
          <w:rFonts w:ascii="宋体" w:eastAsia="仿宋_GB2312" w:cs="宋体" w:hAnsi="宋体"/>
          <w:kern w:val="0"/>
          <w:sz w:val="32"/>
          <w:szCs w:val="32"/>
        </w:rPr>
      </w:pPr>
      <w:r>
        <w:rPr>
          <w:rFonts w:ascii="宋体" w:eastAsia="仿宋_GB2312" w:cs="宋体" w:hAnsi="宋体" w:hint="eastAsia"/>
          <w:kern w:val="0"/>
          <w:sz w:val="32"/>
          <w:szCs w:val="32"/>
        </w:rPr>
        <w:t>5．五线合一：将消费者投诉、质量监督举报、食品药品投诉、知识产权投诉、价格举报专线，整合为一个专线。</w:t>
      </w:r>
    </w:p>
    <w:p>
      <w:pPr>
        <w:overflowPunct w:val="0"/>
        <w:spacing w:line="579" w:lineRule="exact"/>
        <w:ind w:firstLine="645"/>
        <w:textAlignment w:val="baseline"/>
        <w:rPr>
          <w:rFonts w:ascii="宋体" w:eastAsia="仿宋_GB2312" w:cs="宋体" w:hAnsi="宋体"/>
          <w:kern w:val="0"/>
          <w:sz w:val="32"/>
          <w:szCs w:val="32"/>
        </w:rPr>
      </w:pPr>
      <w:r>
        <w:rPr>
          <w:rFonts w:ascii="宋体" w:eastAsia="仿宋_GB2312" w:cs="宋体" w:hAnsi="宋体" w:hint="eastAsia"/>
          <w:kern w:val="0"/>
          <w:sz w:val="32"/>
          <w:szCs w:val="32"/>
        </w:rPr>
        <w:t>6．ODR：Online Dispute Resolution，在线消费纠纷解决。</w:t>
      </w:r>
    </w:p>
    <w:p>
      <w:pPr>
        <w:overflowPunct w:val="0"/>
        <w:spacing w:line="579" w:lineRule="exact"/>
        <w:ind w:firstLine="645"/>
        <w:textAlignment w:val="baseline"/>
        <w:rPr>
          <w:rFonts w:ascii="宋体" w:eastAsia="仿宋_GB2312" w:cs="宋体" w:hAnsi="宋体"/>
          <w:kern w:val="0"/>
          <w:sz w:val="32"/>
          <w:szCs w:val="32"/>
        </w:rPr>
      </w:pPr>
      <w:r>
        <w:rPr>
          <w:rFonts w:ascii="宋体" w:eastAsia="仿宋_GB2312" w:cs="宋体" w:hAnsi="宋体" w:hint="eastAsia"/>
          <w:kern w:val="0"/>
          <w:sz w:val="32"/>
          <w:szCs w:val="32"/>
        </w:rPr>
        <w:t>7．诉转案：市场监管部门在处理消费者和经营者之间的消费争议时，发现经营者有违反法律法规的行为，在依法进行行政调解的同时，对经营者违法行为予以立案查处，转为行政处罚。</w:t>
      </w:r>
    </w:p>
    <w:p>
      <w:pPr>
        <w:overflowPunct w:val="0"/>
        <w:spacing w:line="579" w:lineRule="exact"/>
        <w:ind w:firstLine="646"/>
        <w:textAlignment w:val="baseline"/>
        <w:rPr>
          <w:rFonts w:ascii="宋体" w:eastAsia="仿宋_GB2312" w:cs="宋体" w:hAnsi="宋体"/>
          <w:kern w:val="0"/>
          <w:sz w:val="32"/>
          <w:szCs w:val="32"/>
        </w:rPr>
      </w:pPr>
      <w:r>
        <w:rPr>
          <w:rFonts w:ascii="宋体" w:eastAsia="仿宋_GB2312" w:cs="宋体" w:hAnsi="宋体"/>
          <w:kern w:val="0"/>
          <w:sz w:val="32"/>
          <w:szCs w:val="32"/>
        </w:rPr>
        <w:t>8</w:t>
      </w:r>
      <w:r>
        <w:rPr>
          <w:rFonts w:ascii="宋体" w:eastAsia="仿宋_GB2312" w:cs="宋体" w:hAnsi="宋体" w:hint="eastAsia"/>
          <w:kern w:val="0"/>
          <w:sz w:val="32"/>
          <w:szCs w:val="32"/>
        </w:rPr>
        <w:t>．极简审批：为营造法治化、国际化、便利化的营商环境，按照深化“放管服”改革的要求，最大限度精简行政审批事项、简化行政审批流程、下放行政审批权限、提高行政审批效率，降低企业的制度性交易成本。</w:t>
      </w:r>
    </w:p>
    <w:p>
      <w:pPr>
        <w:overflowPunct w:val="0"/>
        <w:spacing w:line="579" w:lineRule="exact"/>
        <w:ind w:firstLine="646"/>
        <w:textAlignment w:val="baseline"/>
        <w:rPr>
          <w:rFonts w:ascii="宋体" w:eastAsia="仿宋_GB2312" w:cs="宋体" w:hAnsi="宋体"/>
          <w:kern w:val="0"/>
          <w:sz w:val="32"/>
          <w:szCs w:val="32"/>
        </w:rPr>
      </w:pPr>
      <w:r>
        <w:rPr>
          <w:rFonts w:ascii="宋体" w:eastAsia="仿宋_GB2312" w:cs="宋体" w:hAnsi="宋体"/>
          <w:kern w:val="0"/>
          <w:sz w:val="32"/>
          <w:szCs w:val="32"/>
        </w:rPr>
        <w:t>9</w:t>
      </w:r>
      <w:r>
        <w:rPr>
          <w:rFonts w:ascii="宋体" w:eastAsia="仿宋_GB2312" w:cs="宋体" w:hAnsi="宋体" w:hint="eastAsia"/>
          <w:kern w:val="0"/>
          <w:sz w:val="32"/>
          <w:szCs w:val="32"/>
        </w:rPr>
        <w:t>．3C认证：中国强制性产品认证，英文名称China Compulsory Certification，英文缩写CCC。</w:t>
      </w:r>
    </w:p>
    <w:p>
      <w:pPr>
        <w:overflowPunct w:val="0"/>
        <w:spacing w:line="579" w:lineRule="exact"/>
        <w:ind w:firstLine="646"/>
        <w:textAlignment w:val="baseline"/>
        <w:rPr>
          <w:rFonts w:ascii="宋体" w:eastAsia="仿宋_GB2312" w:cs="宋体" w:hAnsi="宋体"/>
          <w:kern w:val="0"/>
          <w:sz w:val="32"/>
          <w:szCs w:val="32"/>
        </w:rPr>
      </w:pPr>
      <w:r>
        <w:rPr>
          <w:rFonts w:ascii="宋体" w:eastAsia="仿宋_GB2312" w:cs="宋体" w:hAnsi="宋体" w:hint="eastAsia"/>
          <w:kern w:val="0"/>
          <w:sz w:val="32"/>
          <w:szCs w:val="32"/>
        </w:rPr>
        <w:t>1</w:t>
      </w:r>
      <w:r>
        <w:rPr>
          <w:rFonts w:ascii="宋体" w:eastAsia="仿宋_GB2312" w:cs="宋体" w:hAnsi="宋体"/>
          <w:kern w:val="0"/>
          <w:sz w:val="32"/>
          <w:szCs w:val="32"/>
        </w:rPr>
        <w:t>0</w:t>
      </w:r>
      <w:r>
        <w:rPr>
          <w:rFonts w:ascii="宋体" w:eastAsia="仿宋_GB2312" w:cs="宋体" w:hAnsi="宋体" w:hint="eastAsia"/>
          <w:kern w:val="0"/>
          <w:sz w:val="32"/>
          <w:szCs w:val="32"/>
        </w:rPr>
        <w:t>．三项清单：市场监管事项清单，轻微违法免罚清单，生产经营风险清单。</w:t>
      </w:r>
    </w:p>
    <w:p>
      <w:pPr>
        <w:overflowPunct w:val="0"/>
        <w:spacing w:line="579" w:lineRule="exact"/>
        <w:ind w:firstLine="646"/>
        <w:textAlignment w:val="baseline"/>
        <w:rPr>
          <w:rFonts w:ascii="宋体" w:eastAsia="仿宋_GB2312" w:cs="宋体" w:hAnsi="宋体"/>
          <w:kern w:val="0"/>
          <w:sz w:val="32"/>
          <w:szCs w:val="32"/>
        </w:rPr>
      </w:pPr>
      <w:r>
        <w:rPr>
          <w:rFonts w:ascii="宋体" w:eastAsia="仿宋_GB2312" w:cs="宋体" w:hAnsi="宋体" w:hint="eastAsia"/>
          <w:kern w:val="0"/>
          <w:sz w:val="32"/>
          <w:szCs w:val="32"/>
        </w:rPr>
        <w:t>1</w:t>
      </w:r>
      <w:r>
        <w:rPr>
          <w:rFonts w:ascii="宋体" w:eastAsia="仿宋_GB2312" w:cs="宋体" w:hAnsi="宋体"/>
          <w:kern w:val="0"/>
          <w:sz w:val="32"/>
          <w:szCs w:val="32"/>
        </w:rPr>
        <w:t>1</w:t>
      </w:r>
      <w:r>
        <w:rPr>
          <w:rFonts w:ascii="宋体" w:eastAsia="仿宋_GB2312" w:cs="宋体" w:hAnsi="宋体" w:hint="eastAsia"/>
          <w:kern w:val="0"/>
          <w:sz w:val="32"/>
          <w:szCs w:val="32"/>
        </w:rPr>
        <w:t>．四种风险：市场准入退出风险，食品药品安全风险，重要产品和特种设备风险，市场交易秩序风险。</w:t>
      </w:r>
    </w:p>
    <w:p>
      <w:pPr>
        <w:overflowPunct w:val="0"/>
        <w:spacing w:line="579" w:lineRule="exact"/>
        <w:ind w:firstLine="646"/>
        <w:textAlignment w:val="baseline"/>
        <w:rPr>
          <w:rFonts w:ascii="宋体" w:eastAsia="仿宋_GB2312" w:cs="宋体" w:hAnsi="宋体"/>
          <w:kern w:val="0"/>
          <w:sz w:val="32"/>
          <w:szCs w:val="32"/>
        </w:rPr>
      </w:pPr>
      <w:r>
        <w:rPr>
          <w:rFonts w:ascii="宋体" w:eastAsia="仿宋_GB2312" w:cs="宋体" w:hAnsi="宋体" w:hint="eastAsia"/>
          <w:kern w:val="0"/>
          <w:sz w:val="32"/>
          <w:szCs w:val="32"/>
        </w:rPr>
        <w:t>1</w:t>
      </w:r>
      <w:r>
        <w:rPr>
          <w:rFonts w:ascii="宋体" w:eastAsia="仿宋_GB2312" w:cs="宋体" w:hAnsi="宋体"/>
          <w:kern w:val="0"/>
          <w:sz w:val="32"/>
          <w:szCs w:val="32"/>
        </w:rPr>
        <w:t>2</w:t>
      </w:r>
      <w:r>
        <w:rPr>
          <w:rFonts w:ascii="宋体" w:eastAsia="仿宋_GB2312" w:cs="宋体" w:hAnsi="宋体" w:hint="eastAsia"/>
          <w:kern w:val="0"/>
          <w:sz w:val="32"/>
          <w:szCs w:val="32"/>
        </w:rPr>
        <w:t>．五类监管：公平公正监管，包容审慎监管，信用分类监管，重点领域监管，科学智慧监管。</w:t>
      </w:r>
    </w:p>
    <w:p>
      <w:pPr>
        <w:overflowPunct w:val="0"/>
        <w:spacing w:line="579" w:lineRule="exact"/>
        <w:ind w:firstLine="646"/>
        <w:textAlignment w:val="baseline"/>
        <w:rPr>
          <w:rFonts w:ascii="宋体" w:eastAsia="仿宋_GB2312" w:cs="宋体" w:hAnsi="宋体"/>
          <w:kern w:val="0"/>
          <w:sz w:val="32"/>
          <w:szCs w:val="32"/>
        </w:rPr>
      </w:pPr>
      <w:r>
        <w:rPr>
          <w:rFonts w:ascii="宋体" w:eastAsia="仿宋_GB2312" w:cs="宋体" w:hAnsi="宋体" w:hint="eastAsia"/>
          <w:kern w:val="0"/>
          <w:sz w:val="32"/>
          <w:szCs w:val="32"/>
        </w:rPr>
        <w:t>1</w:t>
      </w:r>
      <w:r>
        <w:rPr>
          <w:rFonts w:ascii="宋体" w:eastAsia="仿宋_GB2312" w:cs="宋体" w:hAnsi="宋体"/>
          <w:kern w:val="0"/>
          <w:sz w:val="32"/>
          <w:szCs w:val="32"/>
        </w:rPr>
        <w:t>3</w:t>
      </w:r>
      <w:r>
        <w:rPr>
          <w:rFonts w:ascii="宋体" w:eastAsia="仿宋_GB2312" w:cs="宋体" w:hAnsi="宋体" w:hint="eastAsia"/>
          <w:kern w:val="0"/>
          <w:sz w:val="32"/>
          <w:szCs w:val="32"/>
        </w:rPr>
        <w:t>．药品安全信息“四公开”：企业许可信息公开、企业日常检查信息公开、抽检结果信息公开、行政处罚信息公开。</w:t>
      </w:r>
    </w:p>
    <w:p>
      <w:pPr>
        <w:overflowPunct w:val="0"/>
        <w:spacing w:line="579" w:lineRule="exact"/>
        <w:ind w:firstLine="645"/>
        <w:textAlignment w:val="baseline"/>
        <w:rPr>
          <w:rFonts w:ascii="宋体" w:eastAsia="仿宋_GB2312" w:cs="宋体" w:hAnsi="宋体"/>
          <w:kern w:val="0"/>
          <w:sz w:val="32"/>
          <w:szCs w:val="32"/>
        </w:rPr>
      </w:pPr>
      <w:r>
        <w:rPr>
          <w:rFonts w:ascii="宋体" w:eastAsia="仿宋_GB2312" w:cs="宋体" w:hAnsi="宋体" w:hint="eastAsia"/>
          <w:kern w:val="0"/>
          <w:sz w:val="32"/>
          <w:szCs w:val="32"/>
        </w:rPr>
        <w:t>1</w:t>
      </w:r>
      <w:r>
        <w:rPr>
          <w:rFonts w:ascii="宋体" w:eastAsia="仿宋_GB2312" w:cs="宋体" w:hAnsi="宋体"/>
          <w:kern w:val="0"/>
          <w:sz w:val="32"/>
          <w:szCs w:val="32"/>
        </w:rPr>
        <w:t>4</w:t>
      </w:r>
      <w:r>
        <w:rPr>
          <w:rFonts w:ascii="宋体" w:eastAsia="仿宋_GB2312" w:cs="宋体" w:hAnsi="宋体" w:hint="eastAsia"/>
          <w:kern w:val="0"/>
          <w:sz w:val="32"/>
          <w:szCs w:val="32"/>
        </w:rPr>
        <w:t>．四个最严：最严谨的标准，最严格的监管，最严厉的处罚，最严肃的问责。</w:t>
      </w:r>
    </w:p>
    <w:p>
      <w:pPr>
        <w:overflowPunct w:val="0"/>
        <w:spacing w:line="579" w:lineRule="exact"/>
        <w:ind w:firstLine="646"/>
        <w:textAlignment w:val="baseline"/>
        <w:rPr>
          <w:rFonts w:ascii="宋体" w:eastAsia="仿宋_GB2312" w:cs="宋体" w:hAnsi="宋体"/>
          <w:kern w:val="0"/>
          <w:sz w:val="32"/>
          <w:szCs w:val="32"/>
        </w:rPr>
      </w:pPr>
      <w:r>
        <w:rPr>
          <w:rFonts w:ascii="宋体" w:eastAsia="仿宋_GB2312" w:cs="宋体" w:hAnsi="宋体" w:hint="eastAsia"/>
          <w:kern w:val="0"/>
          <w:sz w:val="32"/>
          <w:szCs w:val="32"/>
        </w:rPr>
        <w:t>1</w:t>
      </w:r>
      <w:r>
        <w:rPr>
          <w:rFonts w:ascii="宋体" w:eastAsia="仿宋_GB2312" w:cs="宋体" w:hAnsi="宋体"/>
          <w:kern w:val="0"/>
          <w:sz w:val="32"/>
          <w:szCs w:val="32"/>
        </w:rPr>
        <w:t>5</w:t>
      </w:r>
      <w:r>
        <w:rPr>
          <w:rFonts w:ascii="宋体" w:eastAsia="仿宋_GB2312" w:cs="宋体" w:hAnsi="宋体" w:hint="eastAsia"/>
          <w:kern w:val="0"/>
          <w:sz w:val="32"/>
          <w:szCs w:val="32"/>
        </w:rPr>
        <w:t>．飞行检查:是指在被检查单位不知晓的情况下随时可以进行的检查。</w:t>
      </w:r>
    </w:p>
    <w:sectPr>
      <w:footerReference w:type="default" r:id="rId5"/>
      <w:pgSz w:w="11906" w:h="16838"/>
      <w:pgMar w:top="2098" w:right="1474" w:bottom="1985" w:left="1588" w:header="851" w:footer="1191"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永中宋体"/>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方正小标宋简体">
    <w:altName w:val="Arial Unicode MS"/>
    <w:panose1 w:val="03000509000000000000"/>
    <w:charset w:val="86"/>
    <w:family w:val="script"/>
    <w:pitch w:val="variable"/>
    <w:sig w:usb0="00000001" w:usb1="080E0000" w:usb2="00000010" w:usb3="00000000" w:csb0="00040000" w:csb1="00000000"/>
  </w:font>
  <w:font w:name="楷体_GB2312">
    <w:altName w:val="Arial Unicode MS"/>
    <w:panose1 w:val="02010609030101010101"/>
    <w:charset w:val="86"/>
    <w:family w:val="modern"/>
    <w:pitch w:val="variable"/>
    <w:sig w:usb0="00000001" w:usb1="080E0000" w:usb2="00000010" w:usb3="00000000" w:csb0="00040000" w:csb1="00000000"/>
  </w:font>
  <w:font w:name="仿宋_GB2312">
    <w:altName w:val="Arial Unicode MS"/>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Times New Roman">
    <w:altName w:val="DejaVu Sans"/>
    <w:panose1 w:val="02020603050405020304"/>
    <w:charset w:val="00"/>
    <w:family w:val="roman"/>
    <w:pitch w:val="variable"/>
    <w:sig w:usb0="E0002AFF" w:usb1="C0007841" w:usb2="00000009" w:usb3="00000000" w:csb0="000001FF" w:csb1="00000000"/>
  </w:font>
  <w:font w:name="等线 Light">
    <w:altName w:val="永中宋体"/>
    <w:panose1 w:val="00000000000000000000"/>
    <w:charset w:val="86"/>
    <w:family w:val="auto"/>
    <w:pitch w:val="variable"/>
    <w:sig w:usb0="00000000" w:usb1="00000000" w:usb2="00000016" w:usb3="00000000" w:csb0="0004000F" w:csb1="00000000"/>
  </w:font>
  <w:font w:name="等线">
    <w:altName w:val="永中宋体"/>
    <w:panose1 w:val="00000000000000000000"/>
    <w:charset w:val="86"/>
    <w:family w:val="auto"/>
    <w:pitch w:val="variable"/>
    <w:sig w:usb0="00000000" w:usb1="00000000" w:usb2="00000016" w:usb3="00000000" w:csb0="0004000F" w:csb1="00000000"/>
  </w:font>
  <w:font w:name="楷体">
    <w:panose1 w:val="02010609060101010101"/>
    <w:charset w:val="86"/>
    <w:family w:val="modern"/>
    <w:pitch w:val="variable"/>
    <w:sig w:usb0="800002BF" w:usb1="38CF7CFA"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tabs>
        <w:tab w:val="center" w:pos="4153"/>
        <w:tab w:val="right" w:pos="8306"/>
      </w:tabs>
      <w:jc w:val="right"/>
      <w:rPr>
        <w:rFonts w:ascii="宋体" w:eastAsia="宋体" w:hint="eastAsia"/>
        <w:sz w:val="28"/>
        <w:szCs w:val="28"/>
      </w:rPr>
    </w:pPr>
    <w:r>
      <w:rPr>
        <w:rFonts w:ascii="宋体" w:eastAsia="宋体"/>
        <w:sz w:val="28"/>
        <w:szCs w:val="28"/>
      </w:rPr>
      <w:t xml:space="preserve">— </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3</w:t>
    </w:r>
    <w:r>
      <w:rPr>
        <w:rFonts w:ascii="宋体" w:eastAsia="宋体"/>
        <w:sz w:val="28"/>
        <w:szCs w:val="28"/>
      </w:rPr>
      <w:fldChar w:fldCharType="end"/>
    </w:r>
    <w:r>
      <w:rPr>
        <w:rFonts w:ascii="宋体" w:eastAsia="宋体"/>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tabs>
        <w:tab w:val="center" w:pos="4153"/>
        <w:tab w:val="right" w:pos="8306"/>
      </w:tabs>
      <w:ind w:firstLineChars="100" w:firstLine="280"/>
    </w:pPr>
    <w:r>
      <w:rPr>
        <w:rFonts w:ascii="宋体" w:hint="eastAsia"/>
        <w:sz w:val="28"/>
        <w:szCs w:val="28"/>
      </w:rPr>
      <w:t xml:space="preserve">— </w:t>
    </w:r>
    <w:r>
      <w:rPr>
        <w:rStyle w:val="27"/>
        <w:rFonts w:ascii="宋体" w:hAnsi="宋体"/>
        <w:sz w:val="28"/>
        <w:szCs w:val="28"/>
      </w:rPr>
      <w:fldChar w:fldCharType="begin"/>
    </w:r>
    <w:r>
      <w:rPr>
        <w:rStyle w:val="27"/>
        <w:rFonts w:ascii="宋体" w:hAnsi="宋体"/>
        <w:sz w:val="28"/>
        <w:szCs w:val="28"/>
      </w:rPr>
      <w:instrText xml:space="preserve"> PAGE </w:instrText>
    </w:r>
    <w:r>
      <w:rPr>
        <w:rFonts w:ascii="宋体"/>
        <w:sz w:val="28"/>
        <w:szCs w:val="28"/>
      </w:rPr>
      <w:fldChar w:fldCharType="separate"/>
    </w:r>
    <w:r>
      <w:rPr>
        <w:rStyle w:val="27"/>
        <w:rFonts w:ascii="宋体" w:hAnsi="宋体"/>
        <w:sz w:val="28"/>
        <w:szCs w:val="28"/>
      </w:rPr>
      <w:t>30</w:t>
    </w:r>
    <w:r>
      <w:rPr>
        <w:rFonts w:ascii="宋体"/>
        <w:sz w:val="28"/>
        <w:szCs w:val="28"/>
      </w:rPr>
      <w:fldChar w:fldCharType="end"/>
    </w:r>
    <w:r>
      <w:rPr>
        <w:rStyle w:val="27"/>
        <w:rFonts w:ascii="宋体" w:hAnsi="宋体" w:hint="eastAsia"/>
        <w:sz w:val="28"/>
        <w:szCs w:val="28"/>
      </w:rP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tabs>
        <w:tab w:val="center" w:pos="4153"/>
        <w:tab w:val="right" w:pos="8306"/>
      </w:tabs>
      <w:jc w:val="right"/>
      <w:rPr>
        <w:rFonts w:ascii="宋体" w:eastAsia="宋体" w:hint="eastAsia"/>
        <w:sz w:val="28"/>
        <w:szCs w:val="28"/>
      </w:rPr>
    </w:pPr>
    <w:r>
      <w:rPr>
        <w:rFonts w:ascii="宋体" w:eastAsia="宋体" w:hint="eastAsia"/>
        <w:sz w:val="28"/>
        <w:szCs w:val="28"/>
      </w:rPr>
      <w:t xml:space="preserve">— </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29</w:t>
    </w:r>
    <w:r>
      <w:rPr>
        <w:rFonts w:ascii="宋体" w:eastAsia="宋体"/>
        <w:sz w:val="28"/>
        <w:szCs w:val="28"/>
      </w:rPr>
      <w:fldChar w:fldCharType="end"/>
    </w:r>
    <w:r>
      <w:rPr>
        <w:rFonts w:ascii="宋体" w:eastAsia="宋体"/>
        <w:sz w:val="28"/>
        <w:szCs w:val="28"/>
      </w:rP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0"/>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8"/>
  <w:bordersDoNotSurroundHeader/>
  <w:bordersDoNotSurroundFooter/>
  <w:defaultTabStop w:val="420"/>
  <w:evenAndOddHeaders/>
  <w:mirrorMargins/>
  <w:drawingGridHorizontalSpacing w:val="0"/>
  <w:drawingGridVerticalSpacing w:val="156"/>
  <w:displayHorizontalDrawingGridEvery w:val="0"/>
  <w:displayVerticalDrawingGridEvery w:val="2"/>
  <w:characterSpacingControl w:val="compressPunctuation"/>
  <w:savePreviewPicture/>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paragraph" w:styleId="1">
    <w:name w:val="heading 1"/>
    <w:basedOn w:val="0"/>
    <w:next w:val="0"/>
    <w:pPr>
      <w:keepNext/>
      <w:keepLines/>
      <w:widowControl w:val="0"/>
      <w:spacing w:before="340" w:after="330" w:line="360" w:lineRule="auto"/>
      <w:ind w:firstLineChars="200" w:firstLine="200"/>
      <w:outlineLvl w:val="0"/>
    </w:pPr>
    <w:rPr>
      <w:rFonts w:eastAsia="黑体"/>
      <w:b/>
      <w:bCs/>
      <w:kern w:val="44"/>
      <w:sz w:val="32"/>
      <w:szCs w:val="44"/>
    </w:rPr>
  </w:style>
  <w:style w:type="paragraph" w:styleId="2">
    <w:name w:val="heading 2"/>
    <w:basedOn w:val="0"/>
    <w:next w:val="0"/>
    <w:pPr>
      <w:keepNext/>
      <w:keepLines/>
      <w:widowControl w:val="0"/>
      <w:spacing w:before="260" w:after="260" w:line="415" w:lineRule="auto"/>
      <w:outlineLvl w:val="1"/>
    </w:pPr>
    <w:rPr>
      <w:rFonts w:ascii="等线 Light" w:eastAsia="等线 Light"/>
      <w:b/>
      <w:bCs/>
      <w:sz w:val="32"/>
      <w:szCs w:val="32"/>
    </w:rPr>
  </w:style>
  <w:style w:type="paragraph" w:styleId="3">
    <w:name w:val="heading 3"/>
    <w:basedOn w:val="0"/>
    <w:next w:val="0"/>
    <w:pPr>
      <w:keepNext/>
      <w:keepLines/>
      <w:widowControl w:val="0"/>
      <w:spacing w:before="260" w:after="260" w:line="415" w:lineRule="auto"/>
      <w:ind w:firstLineChars="200" w:firstLine="200"/>
      <w:outlineLvl w:val="2"/>
    </w:pPr>
    <w:rPr>
      <w:rFonts w:ascii="宋体" w:eastAsia="仿宋" w:hAnsi="宋体"/>
      <w:b/>
      <w:bCs/>
      <w:sz w:val="32"/>
      <w:szCs w:val="32"/>
    </w:rPr>
  </w:style>
  <w:style w:type="character" w:default="1" w:styleId="10">
    <w:name w:val="Default Paragraph Font"/>
  </w:style>
  <w:style w:type="paragraph" w:styleId="15">
    <w:name w:val="annotation text"/>
    <w:basedOn w:val="0"/>
    <w:pPr>
      <w:jc w:val="left"/>
    </w:pPr>
  </w:style>
  <w:style w:type="paragraph" w:styleId="16">
    <w:name w:val="toc 3"/>
    <w:basedOn w:val="0"/>
    <w:next w:val="0"/>
    <w:pPr>
      <w:widowControl/>
      <w:spacing w:after="100" w:line="259" w:lineRule="auto"/>
      <w:ind w:left="440"/>
      <w:jc w:val="left"/>
    </w:pPr>
    <w:rPr>
      <w:rFonts w:ascii="等线" w:eastAsia="等线"/>
      <w:kern w:val="0"/>
      <w:sz w:val="22"/>
      <w:szCs w:val="22"/>
    </w:rPr>
  </w:style>
  <w:style w:type="paragraph" w:styleId="17">
    <w:name w:val="Date"/>
    <w:basedOn w:val="0"/>
    <w:next w:val="0"/>
    <w:pPr>
      <w:ind w:leftChars="2500" w:left="2500"/>
    </w:p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kern w:val="0"/>
      <w:sz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toc 1"/>
    <w:basedOn w:val="0"/>
    <w:next w:val="0"/>
    <w:pPr>
      <w:widowControl/>
      <w:tabs>
        <w:tab w:val="right" w:leader="dot" w:pos="8834"/>
      </w:tabs>
      <w:spacing w:after="100" w:line="259" w:lineRule="auto"/>
      <w:jc w:val="left"/>
    </w:pPr>
    <w:rPr>
      <w:rFonts w:ascii="黑体" w:eastAsia="黑体"/>
      <w:kern w:val="0"/>
      <w:sz w:val="32"/>
      <w:szCs w:val="22"/>
    </w:rPr>
  </w:style>
  <w:style w:type="paragraph" w:styleId="22">
    <w:name w:val="Subtitle"/>
    <w:basedOn w:val="0"/>
    <w:next w:val="0"/>
    <w:link w:val="22Char"/>
    <w:pPr>
      <w:spacing w:before="120" w:after="60" w:line="312" w:lineRule="auto"/>
      <w:ind w:firstLineChars="200" w:firstLine="200"/>
      <w:jc w:val="center"/>
      <w:outlineLvl w:val="1"/>
    </w:pPr>
    <w:rPr>
      <w:rFonts w:ascii="等线 Light" w:eastAsia="楷体" w:hAnsi="等线 Light"/>
      <w:b/>
      <w:bCs/>
      <w:kern w:val="28"/>
      <w:sz w:val="32"/>
      <w:szCs w:val="32"/>
    </w:rPr>
  </w:style>
  <w:style w:type="character" w:customStyle="1" w:styleId="22Char">
    <w:name w:val="Subtitle Char"/>
    <w:basedOn w:val="10"/>
    <w:link w:val="22"/>
    <w:rPr>
      <w:rFonts w:ascii="等线 Light" w:eastAsia="楷体" w:cs="Times New Roman" w:hAnsi="等线 Light"/>
      <w:b/>
      <w:bCs/>
      <w:kern w:val="28"/>
      <w:sz w:val="32"/>
      <w:szCs w:val="32"/>
      <w:lang w:val="en-US" w:eastAsia="zh-CN" w:bidi="ar-SA"/>
    </w:rPr>
  </w:style>
  <w:style w:type="paragraph" w:styleId="23">
    <w:name w:val="toc 2"/>
    <w:basedOn w:val="0"/>
    <w:next w:val="0"/>
    <w:pPr>
      <w:widowControl/>
      <w:tabs>
        <w:tab w:val="right" w:leader="dot" w:pos="8834"/>
      </w:tabs>
      <w:spacing w:line="259" w:lineRule="auto"/>
      <w:ind w:left="284" w:firstLineChars="108" w:firstLine="108"/>
      <w:jc w:val="left"/>
    </w:pPr>
    <w:rPr>
      <w:rFonts w:ascii="等线" w:eastAsia="楷体" w:hAnsi="等线"/>
      <w:kern w:val="0"/>
      <w:sz w:val="32"/>
      <w:szCs w:val="22"/>
    </w:rPr>
  </w:style>
  <w:style w:type="paragraph" w:styleId="24">
    <w:name w:val="Normal (Web)"/>
    <w:basedOn w:val="0"/>
    <w:pPr>
      <w:widowControl/>
      <w:spacing w:before="100" w:beforeAutospacing="1" w:after="100" w:afterAutospacing="1"/>
      <w:jc w:val="left"/>
    </w:pPr>
    <w:rPr>
      <w:rFonts w:ascii="宋体" w:cs="宋体"/>
      <w:kern w:val="0"/>
      <w:sz w:val="24"/>
      <w:szCs w:val="24"/>
    </w:rPr>
  </w:style>
  <w:style w:type="paragraph" w:styleId="25">
    <w:name w:val="annotation subject"/>
    <w:basedOn w:val="15"/>
    <w:next w:val="15"/>
    <w:rPr>
      <w:b/>
      <w:bCs/>
    </w:rPr>
  </w:style>
  <w:style w:type="character" w:styleId="26">
    <w:name w:val="Strong"/>
    <w:rPr>
      <w:b/>
      <w:bCs/>
    </w:rPr>
  </w:style>
  <w:style w:type="character" w:styleId="27">
    <w:name w:val="page number"/>
    <w:basedOn w:val="10"/>
  </w:style>
  <w:style w:type="character" w:styleId="28">
    <w:name w:val="Hyperlink"/>
    <w:rPr>
      <w:color w:val="0563C1"/>
      <w:u w:val="single"/>
    </w:rPr>
  </w:style>
  <w:style w:type="character" w:styleId="29">
    <w:name w:val="annotation reference"/>
    <w:rPr>
      <w:sz w:val="21"/>
      <w:szCs w:val="21"/>
    </w:rPr>
  </w:style>
  <w:style w:type="paragraph" w:customStyle="1" w:styleId="30">
    <w:name w:val="UserStyle_0"/>
    <w:basedOn w:val="0"/>
    <w:pPr>
      <w:spacing w:before="214"/>
      <w:ind w:left="1170" w:hanging="420"/>
    </w:pPr>
  </w:style>
  <w:style w:type="paragraph" w:customStyle="1" w:styleId="31">
    <w:name w:val="Char Char Char1 Char Char Char Char Char Char Char Char Char Char"/>
    <w:basedOn w:val="0"/>
    <w:pPr>
      <w:widowControl/>
      <w:spacing w:after="160" w:line="240" w:lineRule="exact"/>
      <w:jc w:val="left"/>
    </w:pPr>
    <w:rPr>
      <w:rFonts w:eastAsia="仿宋_GB2312"/>
      <w:sz w:val="32"/>
    </w:rPr>
  </w:style>
  <w:style w:type="paragraph" w:customStyle="1" w:styleId="32">
    <w:name w:val="_Style 4"/>
    <w:basedOn w:val="0"/>
    <w:next w:val="33"/>
    <w:pPr>
      <w:ind w:firstLineChars="200" w:firstLine="200"/>
    </w:pPr>
  </w:style>
  <w:style w:type="paragraph" w:customStyle="1" w:styleId="33">
    <w:name w:val="列出段落1"/>
    <w:basedOn w:val="0"/>
    <w:pPr>
      <w:ind w:firstLineChars="200" w:firstLine="200"/>
    </w:pPr>
  </w:style>
  <w:style w:type="paragraph" w:customStyle="1" w:styleId="34">
    <w:name w:val="列表段落1"/>
    <w:basedOn w:val="0"/>
    <w:pPr>
      <w:ind w:firstLineChars="200" w:firstLine="200"/>
    </w:pPr>
    <w:rPr>
      <w:rFonts w:ascii="Calibri" w:cs="黑体" w:hAnsi="Calibri"/>
      <w:szCs w:val="22"/>
    </w:rPr>
  </w:style>
  <w:style w:type="paragraph" w:customStyle="1" w:styleId="35">
    <w:name w:val="p0"/>
    <w:basedOn w:val="0"/>
    <w:pPr>
      <w:widowControl/>
    </w:pPr>
    <w:rPr>
      <w:rFonts w:ascii="Calibri" w:cs="宋体" w:hAnsi="Calibri"/>
      <w:kern w:val="0"/>
      <w:szCs w:val="21"/>
    </w:rPr>
  </w:style>
  <w:style w:type="paragraph" w:customStyle="1" w:styleId="36">
    <w:name w:val="TOC 标题1"/>
    <w:basedOn w:val="1"/>
    <w:next w:val="0"/>
    <w:pPr>
      <w:keepNext/>
      <w:keepLines/>
      <w:widowControl/>
      <w:spacing w:before="240" w:after="0" w:line="259" w:lineRule="auto"/>
      <w:ind w:firstLineChars="0" w:firstLine="0"/>
      <w:jc w:val="left"/>
      <w:outlineLvl w:val="9"/>
    </w:pPr>
    <w:rPr>
      <w:rFonts w:ascii="等线 Light" w:eastAsia="等线 Light"/>
      <w:b w:val="0"/>
      <w:bCs w:val="0"/>
      <w:color w:val="2F5496"/>
      <w:kern w:val="0"/>
      <w:szCs w:val="32"/>
    </w:rPr>
  </w:style>
  <w:style w:type="paragraph" w:customStyle="1" w:styleId="37">
    <w:name w:val="样式 标题 1 + 首行缩进:  2 字符"/>
    <w:basedOn w:val="1"/>
    <w:pPr>
      <w:spacing w:before="120" w:after="120"/>
    </w:pPr>
    <w:rPr>
      <w:rFonts w:cs="宋体"/>
      <w:szCs w:val="20"/>
    </w:rPr>
  </w:style>
  <w:style w:type="character" w:customStyle="1" w:styleId="38">
    <w:name w:val="Placeholder Text"/>
    <w:basedOn w:val="10"/>
    <w:rPr>
      <w:color w:val="80808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38</Pages>
  <Words>18208</Words>
  <Characters>18521</Characters>
  <Lines>844</Lines>
  <Paragraphs>254</Paragraphs>
  <CharactersWithSpaces>18604</CharactersWithSpaces>
  <Company>Xxzx</Company>
</Properties>
</file>

<file path=docProps/core.xml><?xml version="1.0" encoding="utf-8"?>
<cp:coreProperties xmlns:cp="http://schemas.openxmlformats.org/package/2006/metadata/core-properties" xmlns:dc="http://purl.org/dc/elements/1.1/" xmlns:dcterms="http://purl.org/dc/terms/" xmlns:xsi="http://www.w3.org/2001/XMLSchema-instance">
  <dc:title>海南省“十四五”市场监管规划</dc:title>
  <dc:creator>Administrator</dc:creator>
  <cp:lastModifiedBy>省府办发文员</cp:lastModifiedBy>
  <cp:revision>1</cp:revision>
  <cp:lastPrinted>2021-05-19T10:39:00Z</cp:lastPrinted>
  <dcterms:created xsi:type="dcterms:W3CDTF">2021-05-24T08:38:00Z</dcterms:created>
  <dcterms:modified xsi:type="dcterms:W3CDTF">2021-05-24T09:18:13Z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2052-11.1.0.10495</vt:lpwstr>
  </property>
  <property fmtid="{D5CDD505-2E9C-101B-9397-08002B2CF9AE}" pid="3" name="ICV">
    <vt:lpwstr>D0DB3249A8AF43569D8D6F89422B2FB6</vt:lpwstr>
  </property>
</Properties>
</file>