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A85" w:rsidRDefault="00857A85">
      <w:pPr>
        <w:jc w:val="left"/>
        <w:rPr>
          <w:rFonts w:ascii="黑体" w:eastAsia="黑体" w:hAnsi="黑体"/>
          <w:sz w:val="32"/>
          <w:szCs w:val="32"/>
        </w:rPr>
      </w:pPr>
    </w:p>
    <w:p w:rsidR="00857A85" w:rsidRDefault="00857A85">
      <w:pPr>
        <w:jc w:val="center"/>
        <w:rPr>
          <w:rFonts w:ascii="宋体" w:hAnsi="宋体" w:cs="宋体"/>
          <w:b/>
          <w:bCs/>
          <w:sz w:val="44"/>
          <w:szCs w:val="44"/>
        </w:rPr>
      </w:pPr>
    </w:p>
    <w:p w:rsidR="00857A85" w:rsidRPr="00D7693A" w:rsidRDefault="0099311A">
      <w:pPr>
        <w:jc w:val="center"/>
        <w:rPr>
          <w:rFonts w:ascii="仿宋" w:eastAsia="仿宋" w:hAnsi="仿宋" w:cs="宋体"/>
          <w:b/>
          <w:bCs/>
          <w:sz w:val="44"/>
          <w:szCs w:val="44"/>
        </w:rPr>
      </w:pPr>
      <w:r w:rsidRPr="00D7693A">
        <w:rPr>
          <w:rFonts w:ascii="仿宋" w:eastAsia="仿宋" w:hAnsi="仿宋" w:cs="宋体" w:hint="eastAsia"/>
          <w:b/>
          <w:bCs/>
          <w:sz w:val="44"/>
          <w:szCs w:val="44"/>
        </w:rPr>
        <w:t>《动产和权利担保统一登记办法（修订征求意见稿）》修订说明</w:t>
      </w:r>
      <w:bookmarkStart w:id="0" w:name="_GoBack"/>
      <w:bookmarkEnd w:id="0"/>
    </w:p>
    <w:p w:rsidR="00857A85" w:rsidRDefault="00857A85">
      <w:pPr>
        <w:jc w:val="center"/>
        <w:rPr>
          <w:rFonts w:ascii="宋体" w:hAnsi="宋体" w:cs="宋体"/>
          <w:b/>
          <w:bCs/>
          <w:sz w:val="44"/>
          <w:szCs w:val="44"/>
        </w:rPr>
      </w:pPr>
    </w:p>
    <w:p w:rsidR="00857A85" w:rsidRDefault="0099311A">
      <w:pPr>
        <w:ind w:firstLineChars="200" w:firstLine="640"/>
        <w:rPr>
          <w:rFonts w:ascii="黑体" w:eastAsia="黑体" w:hAnsi="黑体"/>
          <w:sz w:val="32"/>
          <w:szCs w:val="40"/>
        </w:rPr>
      </w:pPr>
      <w:r>
        <w:rPr>
          <w:rFonts w:ascii="黑体" w:eastAsia="黑体" w:hAnsi="黑体" w:hint="eastAsia"/>
          <w:sz w:val="32"/>
          <w:szCs w:val="40"/>
        </w:rPr>
        <w:t>一、修订背景</w:t>
      </w:r>
    </w:p>
    <w:p w:rsidR="00857A85" w:rsidRDefault="0099311A">
      <w:pPr>
        <w:ind w:firstLineChars="200" w:firstLine="640"/>
        <w:rPr>
          <w:rFonts w:ascii="仿宋" w:eastAsia="仿宋" w:hAnsi="仿宋" w:cs="仿宋"/>
          <w:sz w:val="32"/>
          <w:szCs w:val="40"/>
        </w:rPr>
      </w:pPr>
      <w:r>
        <w:rPr>
          <w:rFonts w:ascii="仿宋" w:eastAsia="仿宋" w:hAnsi="仿宋" w:cs="仿宋" w:hint="eastAsia"/>
          <w:sz w:val="32"/>
          <w:szCs w:val="40"/>
        </w:rPr>
        <w:t>人民银行于2007年发布，经2017、2019两次修订的《应收账款质押登记办法》（中国人民银行令〔2019〕第4号），是目前明确应收账款质押登记和查询规则，规范征信中心动产融资统一登记公示系统（以下简称统一登记系统）运行的主要文件。</w:t>
      </w:r>
    </w:p>
    <w:p w:rsidR="00857A85" w:rsidRDefault="0099311A">
      <w:pPr>
        <w:ind w:firstLineChars="200" w:firstLine="640"/>
        <w:rPr>
          <w:rFonts w:ascii="仿宋" w:eastAsia="仿宋" w:hAnsi="仿宋" w:cs="仿宋"/>
          <w:sz w:val="32"/>
          <w:szCs w:val="40"/>
        </w:rPr>
      </w:pPr>
      <w:r>
        <w:rPr>
          <w:rFonts w:ascii="仿宋" w:eastAsia="仿宋" w:hAnsi="仿宋" w:cs="仿宋" w:hint="eastAsia"/>
          <w:sz w:val="32"/>
          <w:szCs w:val="40"/>
        </w:rPr>
        <w:t>已正式施行的《民法典》进一步完善了我国担保物权制度。2020年12月22日，国务院发布《关于实施动产和权利担保统一登记的决定》（国发〔2020〕18号，以下简称《国务院决定》），明确自2021年1月1日起，在全国范围内实施动产和权利担保统一登记。人民银行负责制定生产设备、原材料、半成品、产品抵押和应收账款质押统一登记制度，推进登记服务便利化。征信中心具体承担服务性登记工作，不得开展事前审批性登记。</w:t>
      </w:r>
    </w:p>
    <w:p w:rsidR="00857A85" w:rsidRDefault="0099311A">
      <w:pPr>
        <w:ind w:firstLineChars="200" w:firstLine="640"/>
        <w:rPr>
          <w:rFonts w:ascii="仿宋" w:eastAsia="仿宋" w:hAnsi="仿宋" w:cs="仿宋"/>
          <w:sz w:val="32"/>
          <w:szCs w:val="40"/>
        </w:rPr>
      </w:pPr>
      <w:r>
        <w:rPr>
          <w:rFonts w:ascii="仿宋" w:eastAsia="仿宋" w:hAnsi="仿宋" w:cs="仿宋" w:hint="eastAsia"/>
          <w:sz w:val="32"/>
          <w:szCs w:val="40"/>
        </w:rPr>
        <w:t>为配套动产和权利担保统一登记制度的实施，更好地引导市场主体开展动产和权利担保登记与查询活动，有必要根据《民法典》《国务院决定》对《应收账款质押登记办法》</w:t>
      </w:r>
      <w:r>
        <w:rPr>
          <w:rFonts w:ascii="仿宋" w:eastAsia="仿宋" w:hAnsi="仿宋" w:cs="仿宋" w:hint="eastAsia"/>
          <w:sz w:val="32"/>
          <w:szCs w:val="40"/>
        </w:rPr>
        <w:lastRenderedPageBreak/>
        <w:t>进行修订。</w:t>
      </w:r>
    </w:p>
    <w:p w:rsidR="00857A85" w:rsidRDefault="0099311A">
      <w:pPr>
        <w:ind w:firstLineChars="200" w:firstLine="640"/>
        <w:rPr>
          <w:rFonts w:ascii="黑体" w:eastAsia="黑体" w:hAnsi="黑体"/>
          <w:sz w:val="32"/>
          <w:szCs w:val="40"/>
        </w:rPr>
      </w:pPr>
      <w:r>
        <w:rPr>
          <w:rFonts w:ascii="黑体" w:eastAsia="黑体" w:hAnsi="黑体" w:hint="eastAsia"/>
          <w:sz w:val="32"/>
          <w:szCs w:val="40"/>
        </w:rPr>
        <w:t>二、主要修订内容说明</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一是修改办法名称。</w:t>
      </w:r>
      <w:r>
        <w:rPr>
          <w:rFonts w:ascii="仿宋" w:eastAsia="仿宋" w:hAnsi="仿宋" w:cs="仿宋" w:hint="eastAsia"/>
          <w:sz w:val="32"/>
          <w:szCs w:val="40"/>
        </w:rPr>
        <w:t>鉴于动产和权利担保统一登记制度已正式施行，将办法名称修改为《动产和权利担保统一登记办法》（以下简称《办法》）。</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二是修改法律依据。</w:t>
      </w:r>
      <w:r>
        <w:rPr>
          <w:rFonts w:ascii="仿宋" w:eastAsia="仿宋" w:hAnsi="仿宋" w:cs="仿宋" w:hint="eastAsia"/>
          <w:sz w:val="32"/>
          <w:szCs w:val="40"/>
        </w:rPr>
        <w:t>将《办法》法律依据中的《物权法》修改为《民法典》，并补充《国务院决定》作为《办法》制定依据。（第一条）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三是明确登记范围。</w:t>
      </w:r>
      <w:r>
        <w:rPr>
          <w:rFonts w:ascii="仿宋" w:eastAsia="仿宋" w:hAnsi="仿宋" w:cs="仿宋" w:hint="eastAsia"/>
          <w:sz w:val="32"/>
          <w:szCs w:val="40"/>
        </w:rPr>
        <w:t>根据《国务院决定》有关工作要求，以列举加兜底的方式明确纳入《办法》的动产和权利担保登记范围，删除《办法》第四章附则中应收账款转让登记参照条款、其他动产和权利担保登记参照条款。（第二条）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四是明确登记机构职责。</w:t>
      </w:r>
      <w:r>
        <w:rPr>
          <w:rFonts w:ascii="仿宋" w:eastAsia="仿宋" w:hAnsi="仿宋" w:cs="仿宋" w:hint="eastAsia"/>
          <w:sz w:val="32"/>
          <w:szCs w:val="40"/>
        </w:rPr>
        <w:t>根据《国务院决定》有关工作要求，明确征信中心承担服务性登记工作，不开展事前审批性登记，不对登记内容进行实质审查。（第四条）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五是删除优先顺位条款。</w:t>
      </w:r>
      <w:r>
        <w:rPr>
          <w:rFonts w:ascii="仿宋" w:eastAsia="仿宋" w:hAnsi="仿宋" w:cs="仿宋" w:hint="eastAsia"/>
          <w:sz w:val="32"/>
          <w:szCs w:val="40"/>
        </w:rPr>
        <w:t>《民法典》第七百六十八条明确多重保理的清偿顺序。同时《担保司法解释》第六十六条进一步明确“同一应收账款同时存在保理、应收账款质押和债权转让，当事人主张参照民法典第七百六十八条的规定确定优先顺序的，人民法院应予支持。”鉴于同一应收账款上设立多个权利时担保物权的受偿规则已有明确规定，删除《办法》中关于“在同一应收账款上设立多个权利的，质权</w:t>
      </w:r>
      <w:r>
        <w:rPr>
          <w:rFonts w:ascii="仿宋" w:eastAsia="仿宋" w:hAnsi="仿宋" w:cs="仿宋" w:hint="eastAsia"/>
          <w:sz w:val="32"/>
          <w:szCs w:val="40"/>
        </w:rPr>
        <w:lastRenderedPageBreak/>
        <w:t>人按照登记的先后顺序行使质权”的相关内容。</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六是增加当事人登记的提示条款。</w:t>
      </w:r>
      <w:r>
        <w:rPr>
          <w:rFonts w:ascii="仿宋" w:eastAsia="仿宋" w:hAnsi="仿宋" w:cs="仿宋" w:hint="eastAsia"/>
          <w:sz w:val="32"/>
          <w:szCs w:val="40"/>
        </w:rPr>
        <w:t>鉴于动产和权利担保登记由当事人自主办理，</w:t>
      </w:r>
      <w:r>
        <w:rPr>
          <w:rFonts w:ascii="仿宋" w:eastAsia="仿宋" w:hAnsi="仿宋" w:cs="仿宋" w:hint="eastAsia"/>
          <w:sz w:val="32"/>
          <w:szCs w:val="32"/>
        </w:rPr>
        <w:t>为保护当事人的合法权益，提示当事人规范办理登记，避免因登记存在遗漏、错误导致自身权利损害，在登记内容条款中，增加担保财产描述要求“对担保财产进行的概括描述，应当能够合理识别担保财产”；在如实登记条款中增加如下内容“因担保权人</w:t>
      </w:r>
      <w:r>
        <w:rPr>
          <w:rFonts w:ascii="仿宋" w:eastAsia="仿宋" w:hAnsi="仿宋" w:cs="仿宋"/>
          <w:sz w:val="32"/>
          <w:szCs w:val="32"/>
        </w:rPr>
        <w:t>、担保人名称填写</w:t>
      </w:r>
      <w:r>
        <w:rPr>
          <w:rFonts w:ascii="仿宋" w:eastAsia="仿宋" w:hAnsi="仿宋" w:cs="仿宋" w:hint="eastAsia"/>
          <w:sz w:val="32"/>
          <w:szCs w:val="32"/>
        </w:rPr>
        <w:t>错误，</w:t>
      </w:r>
      <w:r>
        <w:rPr>
          <w:rFonts w:ascii="仿宋" w:eastAsia="仿宋" w:hAnsi="仿宋" w:cs="仿宋"/>
          <w:sz w:val="32"/>
          <w:szCs w:val="32"/>
        </w:rPr>
        <w:t>担保财产</w:t>
      </w:r>
      <w:r>
        <w:rPr>
          <w:rFonts w:ascii="仿宋" w:eastAsia="仿宋" w:hAnsi="仿宋" w:cs="仿宋" w:hint="eastAsia"/>
          <w:sz w:val="32"/>
          <w:szCs w:val="32"/>
        </w:rPr>
        <w:t>描述</w:t>
      </w:r>
      <w:r>
        <w:rPr>
          <w:rFonts w:ascii="仿宋" w:eastAsia="仿宋" w:hAnsi="仿宋" w:cs="仿宋"/>
          <w:sz w:val="32"/>
          <w:szCs w:val="32"/>
        </w:rPr>
        <w:t>不能</w:t>
      </w:r>
      <w:r>
        <w:rPr>
          <w:rFonts w:ascii="仿宋" w:eastAsia="仿宋" w:hAnsi="仿宋" w:cs="仿宋" w:hint="eastAsia"/>
          <w:sz w:val="32"/>
          <w:szCs w:val="32"/>
        </w:rPr>
        <w:t>够</w:t>
      </w:r>
      <w:r>
        <w:rPr>
          <w:rFonts w:ascii="仿宋" w:eastAsia="仿宋" w:hAnsi="仿宋" w:cs="仿宋"/>
          <w:sz w:val="32"/>
          <w:szCs w:val="32"/>
        </w:rPr>
        <w:t>合理识别</w:t>
      </w:r>
      <w:r>
        <w:rPr>
          <w:rFonts w:ascii="仿宋" w:eastAsia="仿宋" w:hAnsi="仿宋" w:cs="仿宋" w:hint="eastAsia"/>
          <w:sz w:val="32"/>
          <w:szCs w:val="32"/>
        </w:rPr>
        <w:t>担保财产等情形导致不能正确公示担保权利的</w:t>
      </w:r>
      <w:r>
        <w:rPr>
          <w:rFonts w:ascii="仿宋" w:eastAsia="仿宋" w:hAnsi="仿宋" w:cs="仿宋"/>
          <w:sz w:val="32"/>
          <w:szCs w:val="32"/>
        </w:rPr>
        <w:t>，</w:t>
      </w:r>
      <w:r>
        <w:rPr>
          <w:rFonts w:ascii="仿宋" w:eastAsia="仿宋" w:hAnsi="仿宋" w:cs="仿宋" w:hint="eastAsia"/>
          <w:sz w:val="32"/>
          <w:szCs w:val="32"/>
        </w:rPr>
        <w:t>其法律后果</w:t>
      </w:r>
      <w:r>
        <w:rPr>
          <w:rFonts w:ascii="仿宋" w:eastAsia="仿宋" w:hAnsi="仿宋" w:cs="仿宋"/>
          <w:sz w:val="32"/>
          <w:szCs w:val="32"/>
        </w:rPr>
        <w:t>由当事人自行承担</w:t>
      </w:r>
      <w:r>
        <w:rPr>
          <w:rFonts w:ascii="仿宋" w:eastAsia="仿宋" w:hAnsi="仿宋" w:cs="仿宋" w:hint="eastAsia"/>
          <w:sz w:val="32"/>
          <w:szCs w:val="32"/>
        </w:rPr>
        <w:t>。”（第九条、第二十四条）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七是修改担保人或担保权人为单位的登记编码信息。</w:t>
      </w:r>
      <w:r>
        <w:rPr>
          <w:rFonts w:ascii="仿宋" w:eastAsia="仿宋" w:hAnsi="仿宋" w:cs="仿宋" w:hint="eastAsia"/>
          <w:sz w:val="32"/>
          <w:szCs w:val="40"/>
        </w:rPr>
        <w:t>鉴于原组织机构代码证已停止使用，删除原要求填写的组织机构代码、工商注册号等信息。（第九条）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八是约定登记内容增加“担保范围”及“禁止或限制转让担保财产”，并明确最高额担保中应将最高债权额作为必要登记事项。</w:t>
      </w:r>
      <w:r>
        <w:rPr>
          <w:rFonts w:ascii="仿宋" w:eastAsia="仿宋" w:hAnsi="仿宋" w:cs="仿宋" w:hint="eastAsia"/>
          <w:sz w:val="32"/>
          <w:szCs w:val="40"/>
        </w:rPr>
        <w:t>《最高人民法院关于适用〈中华人民共和国民法典〉有关担保制度的解释》第15条“登记的最高债权额与当事人约定的最高债权额不一致的，人民法院应当依据登记的最高债权额确定债权人优先受偿的范围”，第43条规定，当事人约定禁止或者限制转让抵押财产且已经将约定登记，抵押人违反约定转让抵押财产，……抵押权人主张转让不发生物权效力的，人民法院应予支持。因此，在《办法》</w:t>
      </w:r>
      <w:r>
        <w:rPr>
          <w:rFonts w:ascii="仿宋" w:eastAsia="仿宋" w:hAnsi="仿宋" w:cs="仿宋" w:hint="eastAsia"/>
          <w:sz w:val="32"/>
          <w:szCs w:val="40"/>
        </w:rPr>
        <w:lastRenderedPageBreak/>
        <w:t>第八条对相关登记内容进行了完善，为担保权人办理登记业务提供充分指引，以满足交易的需求并与司法解释相呼应。（第九条）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九是细化征信中心的职责。</w:t>
      </w:r>
      <w:r w:rsidR="007272A2">
        <w:rPr>
          <w:rFonts w:ascii="仿宋" w:eastAsia="仿宋" w:hAnsi="仿宋" w:cs="仿宋" w:hint="eastAsia"/>
          <w:sz w:val="32"/>
          <w:szCs w:val="40"/>
        </w:rPr>
        <w:t>明确征信中心应当建立登记信息内控制度</w:t>
      </w:r>
      <w:r>
        <w:rPr>
          <w:rFonts w:ascii="仿宋" w:eastAsia="仿宋" w:hAnsi="仿宋" w:cs="仿宋" w:hint="eastAsia"/>
          <w:sz w:val="32"/>
          <w:szCs w:val="40"/>
        </w:rPr>
        <w:t>，保障系统安全、稳定运行，保护当事人合法权益。（第二十九条）</w:t>
      </w:r>
    </w:p>
    <w:p w:rsidR="00857A85" w:rsidRDefault="0099311A">
      <w:pPr>
        <w:ind w:firstLineChars="200" w:firstLine="643"/>
        <w:rPr>
          <w:rFonts w:ascii="仿宋" w:eastAsia="仿宋" w:hAnsi="仿宋" w:cs="仿宋"/>
          <w:sz w:val="32"/>
          <w:szCs w:val="40"/>
        </w:rPr>
      </w:pPr>
      <w:r>
        <w:rPr>
          <w:rFonts w:ascii="仿宋" w:eastAsia="仿宋" w:hAnsi="仿宋" w:cs="仿宋" w:hint="eastAsia"/>
          <w:b/>
          <w:bCs/>
          <w:sz w:val="32"/>
          <w:szCs w:val="40"/>
        </w:rPr>
        <w:t>十是其他文字修改。</w:t>
      </w:r>
      <w:r>
        <w:rPr>
          <w:rFonts w:ascii="仿宋" w:eastAsia="仿宋" w:hAnsi="仿宋" w:cs="仿宋" w:hint="eastAsia"/>
          <w:sz w:val="32"/>
          <w:szCs w:val="40"/>
        </w:rPr>
        <w:t>将《办法》中有关质权人修改为担保权人，出质人修改为担保人，应收账款修改为担保财产等。为与《国务院决定》《中国人民银行 国家市场监督管理总局公告〔2020〕第23号》关于登记系统的表述保持一致，将“基于互联网的登记公示系统”修改为“动产融资统一登记公示系统”，同时将系统简称统一为“统一登记系统”。《办法》条文顺序作相应调整。</w:t>
      </w:r>
    </w:p>
    <w:sectPr w:rsidR="00857A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669" w:rsidRDefault="00104669">
      <w:r>
        <w:separator/>
      </w:r>
    </w:p>
  </w:endnote>
  <w:endnote w:type="continuationSeparator" w:id="0">
    <w:p w:rsidR="00104669" w:rsidRDefault="0010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A85" w:rsidRDefault="00104669">
    <w:pPr>
      <w:pStyle w:val="a3"/>
    </w:pPr>
    <w:r>
      <w:pict>
        <v:shapetype id="_x0000_t202" coordsize="21600,21600" o:spt="202" path="m,l,21600r21600,l21600,xe">
          <v:stroke joinstyle="miter"/>
          <v:path gradientshapeok="t" o:connecttype="rect"/>
        </v:shapetype>
        <v:shape id="Quad Arrow 2" o:spid="_x0000_s2049" type="#_x0000_t202" style="position:absolute;margin-left:0;margin-top:0;width:2in;height:2in;z-index:251658240;mso-wrap-style:none;mso-position-horizontal:center;mso-position-horizontal-relative:margin" o:preferrelative="t" filled="f" stroked="f">
          <v:textbox style="mso-fit-shape-to-text:t" inset="0,0,0,0">
            <w:txbxContent>
              <w:p w:rsidR="00857A85" w:rsidRDefault="0099311A">
                <w:pPr>
                  <w:pStyle w:val="a3"/>
                </w:pPr>
                <w:r>
                  <w:rPr>
                    <w:rFonts w:hint="eastAsia"/>
                  </w:rPr>
                  <w:fldChar w:fldCharType="begin"/>
                </w:r>
                <w:r>
                  <w:rPr>
                    <w:rFonts w:hint="eastAsia"/>
                  </w:rPr>
                  <w:instrText xml:space="preserve"> PAGE  \* MERGEFORMAT </w:instrText>
                </w:r>
                <w:r>
                  <w:rPr>
                    <w:rFonts w:hint="eastAsia"/>
                  </w:rPr>
                  <w:fldChar w:fldCharType="separate"/>
                </w:r>
                <w:r w:rsidR="00D7693A">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669" w:rsidRDefault="00104669">
      <w:r>
        <w:separator/>
      </w:r>
    </w:p>
  </w:footnote>
  <w:footnote w:type="continuationSeparator" w:id="0">
    <w:p w:rsidR="00104669" w:rsidRDefault="0010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1D537C3"/>
    <w:rsid w:val="00085B6B"/>
    <w:rsid w:val="00104669"/>
    <w:rsid w:val="001F4DEF"/>
    <w:rsid w:val="00231B65"/>
    <w:rsid w:val="00332DFB"/>
    <w:rsid w:val="00403948"/>
    <w:rsid w:val="00434298"/>
    <w:rsid w:val="005A2439"/>
    <w:rsid w:val="005B4D9B"/>
    <w:rsid w:val="005B541B"/>
    <w:rsid w:val="005D4369"/>
    <w:rsid w:val="00646711"/>
    <w:rsid w:val="006C7B5C"/>
    <w:rsid w:val="007272A2"/>
    <w:rsid w:val="007D182B"/>
    <w:rsid w:val="007D604D"/>
    <w:rsid w:val="007F10C1"/>
    <w:rsid w:val="00857A85"/>
    <w:rsid w:val="008951FC"/>
    <w:rsid w:val="008E447B"/>
    <w:rsid w:val="009676DB"/>
    <w:rsid w:val="0099311A"/>
    <w:rsid w:val="00A715D3"/>
    <w:rsid w:val="00A7523F"/>
    <w:rsid w:val="00B318FC"/>
    <w:rsid w:val="00C77902"/>
    <w:rsid w:val="00D67977"/>
    <w:rsid w:val="00D7693A"/>
    <w:rsid w:val="00DE02B0"/>
    <w:rsid w:val="01D537C3"/>
    <w:rsid w:val="0AA30B19"/>
    <w:rsid w:val="0B6B60AE"/>
    <w:rsid w:val="141B4FF7"/>
    <w:rsid w:val="14B54530"/>
    <w:rsid w:val="17A0190A"/>
    <w:rsid w:val="18AB6D4A"/>
    <w:rsid w:val="1DA668E3"/>
    <w:rsid w:val="21384016"/>
    <w:rsid w:val="218D660A"/>
    <w:rsid w:val="23E73C1C"/>
    <w:rsid w:val="243F0E40"/>
    <w:rsid w:val="25176457"/>
    <w:rsid w:val="26A334A5"/>
    <w:rsid w:val="2C685615"/>
    <w:rsid w:val="34251F1A"/>
    <w:rsid w:val="37513026"/>
    <w:rsid w:val="38B42A5F"/>
    <w:rsid w:val="40432BEC"/>
    <w:rsid w:val="43B7449F"/>
    <w:rsid w:val="46DA5371"/>
    <w:rsid w:val="4EF20764"/>
    <w:rsid w:val="50921EA7"/>
    <w:rsid w:val="5144166F"/>
    <w:rsid w:val="5521110B"/>
    <w:rsid w:val="55BC2EBE"/>
    <w:rsid w:val="60050F36"/>
    <w:rsid w:val="6AF51517"/>
    <w:rsid w:val="6DA23E20"/>
    <w:rsid w:val="70147A10"/>
    <w:rsid w:val="715A18BF"/>
    <w:rsid w:val="75C05DDA"/>
    <w:rsid w:val="782D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A3A0591-7ABD-4863-A977-020CDE30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ind w:left="736"/>
      <w:outlineLvl w:val="0"/>
    </w:pPr>
    <w:rPr>
      <w:rFonts w:ascii="Microsoft JhengHei" w:eastAsia="Microsoft JhengHei" w:hAnsi="Microsoft JhengHei" w:cs="Microsoft JhengHei"/>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D7693A"/>
    <w:rPr>
      <w:sz w:val="18"/>
      <w:szCs w:val="18"/>
    </w:rPr>
  </w:style>
  <w:style w:type="character" w:customStyle="1" w:styleId="Char">
    <w:name w:val="批注框文本 Char"/>
    <w:basedOn w:val="a0"/>
    <w:link w:val="a6"/>
    <w:rsid w:val="00D7693A"/>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263</Words>
  <Characters>1500</Characters>
  <Application>Microsoft Office Word</Application>
  <DocSecurity>0</DocSecurity>
  <Lines>12</Lines>
  <Paragraphs>3</Paragraphs>
  <ScaleCrop>false</ScaleCrop>
  <Company>Microsoft</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《动产和权利担保统一登记办法_x000b_（修订征求意见稿）》修订说明</dc:title>
  <dc:creator>刘亚妮</dc:creator>
  <cp:lastModifiedBy>yy</cp:lastModifiedBy>
  <cp:revision>14</cp:revision>
  <dcterms:created xsi:type="dcterms:W3CDTF">2021-04-23T06:22:00Z</dcterms:created>
  <dcterms:modified xsi:type="dcterms:W3CDTF">2021-05-19T06:26:00Z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KSOSaveFontToCloudKey">
    <vt:lpwstr>353274247_cloud</vt:lpwstr>
  </property>
  <property fmtid="{D5CDD505-2E9C-101B-9397-08002B2CF9AE}" pid="4" name="ICV">
    <vt:lpwstr>FF05F78E9F57463D90F125D1EB5F78CC</vt:lpwstr>
  </property>
</Properties>
</file>