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210" w:type="dxa"/>
        <w:tblInd w:w="-40" w:type="dxa"/>
        <w:tblLayout w:type="fixed"/>
        <w:tblCellMar>
          <w:top w:w="0" w:type="dxa"/>
          <w:left w:w="108" w:type="dxa"/>
          <w:bottom w:w="0" w:type="dxa"/>
          <w:right w:w="108" w:type="dxa"/>
        </w:tblCellMar>
      </w:tblPr>
      <w:tblGrid>
        <w:gridCol w:w="1313"/>
        <w:gridCol w:w="1112"/>
        <w:gridCol w:w="4563"/>
        <w:gridCol w:w="5314"/>
        <w:gridCol w:w="477"/>
        <w:gridCol w:w="477"/>
        <w:gridCol w:w="477"/>
        <w:gridCol w:w="477"/>
      </w:tblGrid>
      <w:tr>
        <w:tblPrEx>
          <w:tblLayout w:type="fixed"/>
          <w:tblCellMar>
            <w:top w:w="0" w:type="dxa"/>
            <w:left w:w="108" w:type="dxa"/>
            <w:bottom w:w="0" w:type="dxa"/>
            <w:right w:w="108" w:type="dxa"/>
          </w:tblCellMar>
        </w:tblPrEx>
        <w:trPr>
          <w:trHeight w:val="1049" w:hRule="atLeast"/>
        </w:trPr>
        <w:tc>
          <w:tcPr>
            <w:tcW w:w="14210" w:type="dxa"/>
            <w:gridSpan w:val="8"/>
            <w:tcBorders>
              <w:top w:val="nil"/>
              <w:left w:val="nil"/>
              <w:bottom w:val="nil"/>
              <w:right w:val="nil"/>
            </w:tcBorders>
            <w:vAlign w:val="center"/>
          </w:tcPr>
          <w:p>
            <w:pPr>
              <w:widowControl/>
              <w:jc w:val="left"/>
              <w:rPr>
                <w:rFonts w:ascii="Times New Roman" w:hAnsi="Times New Roman" w:eastAsia="方正黑体_GBK"/>
                <w:bCs/>
                <w:kern w:val="0"/>
                <w:sz w:val="32"/>
                <w:szCs w:val="32"/>
              </w:rPr>
            </w:pPr>
            <w:r>
              <w:rPr>
                <w:rFonts w:ascii="Times New Roman" w:hAnsi="Times New Roman" w:eastAsia="方正黑体_GBK"/>
                <w:bCs/>
                <w:kern w:val="0"/>
                <w:sz w:val="32"/>
                <w:szCs w:val="32"/>
              </w:rPr>
              <w:t>附件</w:t>
            </w:r>
          </w:p>
          <w:p>
            <w:pPr>
              <w:widowControl/>
              <w:spacing w:line="500" w:lineRule="exact"/>
              <w:jc w:val="center"/>
              <w:rPr>
                <w:rFonts w:ascii="Times New Roman" w:hAnsi="Times New Roman" w:eastAsia="方正小标宋_GBK"/>
                <w:bCs/>
                <w:kern w:val="0"/>
                <w:sz w:val="44"/>
                <w:szCs w:val="44"/>
              </w:rPr>
            </w:pPr>
            <w:r>
              <w:rPr>
                <w:rFonts w:ascii="Times New Roman" w:hAnsi="Times New Roman" w:eastAsia="方正小标宋_GBK"/>
                <w:bCs/>
                <w:kern w:val="0"/>
                <w:sz w:val="44"/>
                <w:szCs w:val="44"/>
              </w:rPr>
              <w:t>江苏省技能人才评价质量专项评估表</w:t>
            </w:r>
          </w:p>
        </w:tc>
      </w:tr>
      <w:tr>
        <w:tblPrEx>
          <w:tblLayout w:type="fixed"/>
          <w:tblCellMar>
            <w:top w:w="0" w:type="dxa"/>
            <w:left w:w="108" w:type="dxa"/>
            <w:bottom w:w="0" w:type="dxa"/>
            <w:right w:w="108" w:type="dxa"/>
          </w:tblCellMar>
        </w:tblPrEx>
        <w:trPr>
          <w:trHeight w:val="777" w:hRule="atLeast"/>
        </w:trPr>
        <w:tc>
          <w:tcPr>
            <w:tcW w:w="14210" w:type="dxa"/>
            <w:gridSpan w:val="8"/>
            <w:tcBorders>
              <w:top w:val="nil"/>
              <w:left w:val="nil"/>
              <w:bottom w:val="single" w:color="auto" w:sz="4" w:space="0"/>
              <w:right w:val="nil"/>
            </w:tcBorders>
            <w:vAlign w:val="center"/>
          </w:tcPr>
          <w:p>
            <w:pPr>
              <w:widowControl/>
              <w:tabs>
                <w:tab w:val="right" w:pos="13994"/>
              </w:tabs>
              <w:rPr>
                <w:rFonts w:ascii="Times New Roman" w:hAnsi="Times New Roman"/>
                <w:kern w:val="0"/>
                <w:sz w:val="28"/>
                <w:szCs w:val="28"/>
              </w:rPr>
            </w:pPr>
            <w:r>
              <w:rPr>
                <w:rFonts w:ascii="Times New Roman" w:hAnsi="Times New Roman" w:eastAsia="方正仿宋_GBK"/>
                <w:sz w:val="28"/>
                <w:szCs w:val="28"/>
                <w:u w:val="single"/>
              </w:rPr>
              <w:t xml:space="preserve">           </w:t>
            </w:r>
            <w:r>
              <w:rPr>
                <w:rFonts w:ascii="Times New Roman" w:hAnsi="Times New Roman" w:eastAsia="方正楷体_GBK"/>
                <w:kern w:val="0"/>
                <w:sz w:val="28"/>
                <w:szCs w:val="28"/>
              </w:rPr>
              <w:t xml:space="preserve">市职业技能鉴定中心     </w:t>
            </w:r>
            <w:r>
              <w:rPr>
                <w:rFonts w:ascii="Times New Roman" w:hAnsi="Times New Roman"/>
                <w:kern w:val="0"/>
                <w:sz w:val="28"/>
                <w:szCs w:val="28"/>
              </w:rPr>
              <w:t xml:space="preserve">                                              </w:t>
            </w:r>
            <w:r>
              <w:rPr>
                <w:rFonts w:ascii="Times New Roman" w:hAnsi="Times New Roman" w:eastAsia="方正楷体_GBK"/>
                <w:kern w:val="0"/>
                <w:sz w:val="28"/>
                <w:szCs w:val="28"/>
              </w:rPr>
              <w:t>总分：</w:t>
            </w:r>
            <w:r>
              <w:rPr>
                <w:rFonts w:ascii="Times New Roman" w:hAnsi="Times New Roman" w:eastAsia="方正仿宋_GBK"/>
                <w:sz w:val="28"/>
                <w:szCs w:val="28"/>
                <w:u w:val="single"/>
              </w:rPr>
              <w:t xml:space="preserve">        </w:t>
            </w:r>
            <w:r>
              <w:rPr>
                <w:rFonts w:ascii="Times New Roman" w:hAnsi="Times New Roman" w:eastAsia="方正楷体_GBK"/>
                <w:kern w:val="0"/>
                <w:sz w:val="28"/>
                <w:szCs w:val="28"/>
              </w:rPr>
              <w:t xml:space="preserve"> 分</w:t>
            </w:r>
          </w:p>
        </w:tc>
      </w:tr>
      <w:tr>
        <w:tblPrEx>
          <w:tblLayout w:type="fixed"/>
          <w:tblCellMar>
            <w:top w:w="0" w:type="dxa"/>
            <w:left w:w="108" w:type="dxa"/>
            <w:bottom w:w="0" w:type="dxa"/>
            <w:right w:w="108" w:type="dxa"/>
          </w:tblCellMar>
        </w:tblPrEx>
        <w:trPr>
          <w:trHeight w:val="762" w:hRule="atLeast"/>
        </w:trPr>
        <w:tc>
          <w:tcPr>
            <w:tcW w:w="131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方正黑体_GBK"/>
                <w:bCs/>
                <w:kern w:val="0"/>
                <w:szCs w:val="21"/>
              </w:rPr>
            </w:pPr>
            <w:r>
              <w:rPr>
                <w:rFonts w:ascii="Times New Roman" w:hAnsi="Times New Roman" w:eastAsia="方正黑体_GBK"/>
                <w:bCs/>
                <w:kern w:val="0"/>
                <w:szCs w:val="21"/>
              </w:rPr>
              <w:t>项目</w:t>
            </w:r>
          </w:p>
        </w:tc>
        <w:tc>
          <w:tcPr>
            <w:tcW w:w="1112" w:type="dxa"/>
            <w:tcBorders>
              <w:top w:val="nil"/>
              <w:left w:val="nil"/>
              <w:bottom w:val="single" w:color="auto" w:sz="4" w:space="0"/>
              <w:right w:val="single" w:color="auto" w:sz="4" w:space="0"/>
            </w:tcBorders>
            <w:vAlign w:val="center"/>
          </w:tcPr>
          <w:p>
            <w:pPr>
              <w:widowControl/>
              <w:jc w:val="center"/>
              <w:rPr>
                <w:rFonts w:ascii="Times New Roman" w:hAnsi="Times New Roman" w:eastAsia="方正黑体_GBK"/>
                <w:bCs/>
                <w:kern w:val="0"/>
                <w:szCs w:val="21"/>
              </w:rPr>
            </w:pPr>
            <w:r>
              <w:rPr>
                <w:rFonts w:ascii="Times New Roman" w:hAnsi="Times New Roman" w:eastAsia="方正黑体_GBK"/>
                <w:bCs/>
                <w:kern w:val="0"/>
                <w:szCs w:val="21"/>
              </w:rPr>
              <w:t>子项目</w:t>
            </w:r>
          </w:p>
        </w:tc>
        <w:tc>
          <w:tcPr>
            <w:tcW w:w="4563" w:type="dxa"/>
            <w:tcBorders>
              <w:top w:val="nil"/>
              <w:left w:val="nil"/>
              <w:bottom w:val="single" w:color="auto" w:sz="4" w:space="0"/>
              <w:right w:val="single" w:color="auto" w:sz="4" w:space="0"/>
            </w:tcBorders>
            <w:vAlign w:val="center"/>
          </w:tcPr>
          <w:p>
            <w:pPr>
              <w:widowControl/>
              <w:jc w:val="center"/>
              <w:rPr>
                <w:rFonts w:ascii="Times New Roman" w:hAnsi="Times New Roman" w:eastAsia="方正黑体_GBK"/>
                <w:bCs/>
                <w:kern w:val="0"/>
                <w:szCs w:val="21"/>
              </w:rPr>
            </w:pPr>
            <w:r>
              <w:rPr>
                <w:rFonts w:ascii="Times New Roman" w:hAnsi="Times New Roman" w:eastAsia="方正黑体_GBK"/>
                <w:bCs/>
                <w:kern w:val="0"/>
                <w:szCs w:val="21"/>
              </w:rPr>
              <w:t>具体要求</w:t>
            </w:r>
          </w:p>
        </w:tc>
        <w:tc>
          <w:tcPr>
            <w:tcW w:w="5314" w:type="dxa"/>
            <w:tcBorders>
              <w:top w:val="nil"/>
              <w:left w:val="nil"/>
              <w:bottom w:val="single" w:color="auto" w:sz="4" w:space="0"/>
              <w:right w:val="single" w:color="auto" w:sz="4" w:space="0"/>
            </w:tcBorders>
            <w:vAlign w:val="center"/>
          </w:tcPr>
          <w:p>
            <w:pPr>
              <w:widowControl/>
              <w:jc w:val="center"/>
              <w:rPr>
                <w:rFonts w:ascii="Times New Roman" w:hAnsi="Times New Roman" w:eastAsia="方正黑体_GBK"/>
                <w:bCs/>
                <w:kern w:val="0"/>
                <w:szCs w:val="21"/>
              </w:rPr>
            </w:pPr>
            <w:r>
              <w:rPr>
                <w:rFonts w:ascii="Times New Roman" w:hAnsi="Times New Roman" w:eastAsia="方正黑体_GBK"/>
                <w:bCs/>
                <w:kern w:val="0"/>
                <w:szCs w:val="21"/>
              </w:rPr>
              <w:t>具体得分/扣分</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eastAsia="方正黑体_GBK"/>
                <w:bCs/>
                <w:kern w:val="0"/>
                <w:szCs w:val="21"/>
              </w:rPr>
            </w:pPr>
            <w:r>
              <w:rPr>
                <w:rFonts w:ascii="Times New Roman" w:hAnsi="Times New Roman" w:eastAsia="方正黑体_GBK"/>
                <w:bCs/>
                <w:kern w:val="0"/>
                <w:szCs w:val="21"/>
              </w:rPr>
              <w:t>备注</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eastAsia="方正黑体_GBK"/>
                <w:bCs/>
                <w:kern w:val="0"/>
                <w:szCs w:val="21"/>
              </w:rPr>
            </w:pPr>
            <w:r>
              <w:rPr>
                <w:rFonts w:ascii="Times New Roman" w:hAnsi="Times New Roman" w:eastAsia="方正黑体_GBK"/>
                <w:bCs/>
                <w:kern w:val="0"/>
                <w:szCs w:val="21"/>
              </w:rPr>
              <w:t>分值</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eastAsia="方正黑体_GBK"/>
                <w:bCs/>
                <w:kern w:val="0"/>
                <w:szCs w:val="21"/>
              </w:rPr>
            </w:pPr>
            <w:r>
              <w:rPr>
                <w:rFonts w:ascii="Times New Roman" w:hAnsi="Times New Roman" w:eastAsia="方正黑体_GBK"/>
                <w:bCs/>
                <w:kern w:val="0"/>
                <w:szCs w:val="21"/>
              </w:rPr>
              <w:t>评分</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eastAsia="方正黑体_GBK"/>
                <w:bCs/>
                <w:kern w:val="0"/>
                <w:szCs w:val="21"/>
              </w:rPr>
            </w:pPr>
            <w:r>
              <w:rPr>
                <w:rFonts w:ascii="Times New Roman" w:hAnsi="Times New Roman" w:eastAsia="方正黑体_GBK"/>
                <w:bCs/>
                <w:kern w:val="0"/>
                <w:szCs w:val="21"/>
              </w:rPr>
              <w:t>得分</w:t>
            </w:r>
          </w:p>
        </w:tc>
      </w:tr>
      <w:tr>
        <w:tblPrEx>
          <w:tblLayout w:type="fixed"/>
          <w:tblCellMar>
            <w:top w:w="0" w:type="dxa"/>
            <w:left w:w="108" w:type="dxa"/>
            <w:bottom w:w="0" w:type="dxa"/>
            <w:right w:w="108" w:type="dxa"/>
          </w:tblCellMar>
        </w:tblPrEx>
        <w:trPr>
          <w:trHeight w:val="1366" w:hRule="atLeast"/>
        </w:trPr>
        <w:tc>
          <w:tcPr>
            <w:tcW w:w="131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r>
              <w:rPr>
                <w:rFonts w:ascii="Times New Roman" w:hAnsi="Times New Roman"/>
                <w:kern w:val="0"/>
                <w:szCs w:val="21"/>
              </w:rPr>
              <w:t>制度与组织建设（20%）</w:t>
            </w: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r>
              <w:rPr>
                <w:rFonts w:ascii="Times New Roman" w:hAnsi="Times New Roman"/>
                <w:kern w:val="0"/>
                <w:szCs w:val="21"/>
              </w:rPr>
              <w:t>制度与组织建设（20%）</w:t>
            </w:r>
          </w:p>
          <w:p>
            <w:pPr>
              <w:widowControl/>
              <w:jc w:val="left"/>
              <w:rPr>
                <w:rFonts w:ascii="Times New Roman" w:hAnsi="Times New Roman"/>
                <w:kern w:val="0"/>
                <w:szCs w:val="21"/>
              </w:rPr>
            </w:pPr>
          </w:p>
        </w:tc>
        <w:tc>
          <w:tcPr>
            <w:tcW w:w="111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制度建设情况</w:t>
            </w:r>
          </w:p>
        </w:tc>
        <w:tc>
          <w:tcPr>
            <w:tcW w:w="4563"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有健全的内部管理制度：社会服务承诺制度、工作人员考核制度、考务管理制度、印章管理制度、题库运行制度、试题保密制度、证书管理制度、档案管理制度。</w:t>
            </w:r>
          </w:p>
        </w:tc>
        <w:tc>
          <w:tcPr>
            <w:tcW w:w="531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8项制度中有6项及以上的得5分，低于6项，少一项扣1分，扣完为止。</w:t>
            </w:r>
          </w:p>
        </w:tc>
        <w:tc>
          <w:tcPr>
            <w:tcW w:w="477"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5</w:t>
            </w:r>
          </w:p>
        </w:tc>
        <w:tc>
          <w:tcPr>
            <w:tcW w:w="477"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312"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改革政策落实情况</w:t>
            </w:r>
          </w:p>
        </w:tc>
        <w:tc>
          <w:tcPr>
            <w:tcW w:w="4563" w:type="dxa"/>
            <w:vMerge w:val="restart"/>
            <w:tcBorders>
              <w:top w:val="nil"/>
              <w:left w:val="single" w:color="auto" w:sz="4" w:space="0"/>
              <w:bottom w:val="single" w:color="auto" w:sz="4" w:space="0"/>
              <w:right w:val="single" w:color="auto" w:sz="4" w:space="0"/>
            </w:tcBorders>
            <w:vAlign w:val="center"/>
          </w:tcPr>
          <w:p>
            <w:pPr>
              <w:widowControl/>
              <w:rPr>
                <w:rFonts w:ascii="Times New Roman" w:hAnsi="Times New Roman"/>
                <w:kern w:val="0"/>
                <w:szCs w:val="21"/>
              </w:rPr>
            </w:pPr>
            <w:r>
              <w:rPr>
                <w:rFonts w:ascii="Times New Roman" w:hAnsi="Times New Roman"/>
                <w:kern w:val="0"/>
                <w:szCs w:val="21"/>
              </w:rPr>
              <w:t>有序推进职业资格改革工作，做好改革工作衔接，加强对用人单位行业职业技能鉴定的指导与管理。</w:t>
            </w:r>
          </w:p>
        </w:tc>
        <w:tc>
          <w:tcPr>
            <w:tcW w:w="5314" w:type="dxa"/>
            <w:vMerge w:val="restar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按国家政策要求，职业资格评价活动开展项目严格执行国家职业资格目录清单规定要求进行得1分。</w:t>
            </w:r>
          </w:p>
        </w:tc>
        <w:tc>
          <w:tcPr>
            <w:tcW w:w="47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312"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18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按技能人才评价制度改革要求，有地方的职业技能等级认定工作机制得2分，有推进措施得2分。</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246"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作为技能人才评价的补充，规范推进专项职业能力考核得1分。</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队伍建设</w:t>
            </w:r>
          </w:p>
        </w:tc>
        <w:tc>
          <w:tcPr>
            <w:tcW w:w="4563" w:type="dxa"/>
            <w:vMerge w:val="restar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能良好地管理并使用考评员、督导员队伍。</w:t>
            </w:r>
          </w:p>
        </w:tc>
        <w:tc>
          <w:tcPr>
            <w:tcW w:w="531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有考评员管理制度并建立考评人员数据库，得2分，缺少一项者扣1分，扣完为止。</w:t>
            </w:r>
          </w:p>
        </w:tc>
        <w:tc>
          <w:tcPr>
            <w:tcW w:w="477"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有质量督导员管理制度并建立督导人员数据库，得2分，缺少一项者扣1分，扣完为止。</w:t>
            </w:r>
          </w:p>
        </w:tc>
        <w:tc>
          <w:tcPr>
            <w:tcW w:w="477"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1020"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机构建设</w:t>
            </w:r>
          </w:p>
        </w:tc>
        <w:tc>
          <w:tcPr>
            <w:tcW w:w="4563"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对县（市、区）鉴定组织机构的业务指导、直属鉴定机构的管理。</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指导辖县（市、区）建立相应的机构得1分，有完善的内部管理制度得1分，考务管理制度健全得1分，题（卷）库运行制度健全得1分，直属鉴定机构有考务管理制度得1分。</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5</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1020" w:hRule="atLeast"/>
        </w:trPr>
        <w:tc>
          <w:tcPr>
            <w:tcW w:w="131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r>
              <w:rPr>
                <w:rFonts w:ascii="Times New Roman" w:hAnsi="Times New Roman"/>
                <w:kern w:val="0"/>
                <w:szCs w:val="21"/>
              </w:rPr>
              <w:t>评价质量管理（50%）</w:t>
            </w: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p>
          <w:p>
            <w:pPr>
              <w:widowControl/>
              <w:jc w:val="left"/>
              <w:rPr>
                <w:rFonts w:ascii="Times New Roman" w:hAnsi="Times New Roman"/>
                <w:kern w:val="0"/>
                <w:szCs w:val="21"/>
              </w:rPr>
            </w:pPr>
            <w:r>
              <w:rPr>
                <w:rFonts w:ascii="Times New Roman" w:hAnsi="Times New Roman"/>
                <w:kern w:val="0"/>
                <w:szCs w:val="21"/>
              </w:rPr>
              <w:t>评价质量管理（50%）</w:t>
            </w:r>
          </w:p>
        </w:tc>
        <w:tc>
          <w:tcPr>
            <w:tcW w:w="111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完成指标情况</w:t>
            </w:r>
          </w:p>
        </w:tc>
        <w:tc>
          <w:tcPr>
            <w:tcW w:w="4563"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完成鉴定取证目标。</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完成取证数、高技能人才数两项指标的，得4分；未完成但完成率在90%以上每项扣1分；完成率低于90%扣2分。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left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国家职业资格评价工作开展情况</w:t>
            </w:r>
          </w:p>
        </w:tc>
        <w:tc>
          <w:tcPr>
            <w:tcW w:w="4563" w:type="dxa"/>
            <w:vMerge w:val="restart"/>
            <w:tcBorders>
              <w:left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提升职业资格评价工作质量，加强规范化管理。</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扎实做好全省统一鉴定考务管理得3分。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报名条件符合要求得3分，个别考生条件不符合申报扣1分，少量考生条件不符合申报扣</w:t>
            </w:r>
            <w:r>
              <w:rPr>
                <w:rFonts w:hint="default" w:ascii="Times New Roman" w:hAnsi="Times New Roman"/>
                <w:kern w:val="0"/>
                <w:szCs w:val="21"/>
              </w:rPr>
              <w:t>3</w:t>
            </w:r>
            <w:r>
              <w:rPr>
                <w:rFonts w:ascii="Times New Roman" w:hAnsi="Times New Roman"/>
                <w:kern w:val="0"/>
                <w:szCs w:val="21"/>
              </w:rPr>
              <w:t>分，批量考生条件不符合申报</w:t>
            </w:r>
            <w:r>
              <w:rPr>
                <w:rFonts w:hint="default" w:ascii="Times New Roman" w:hAnsi="Times New Roman"/>
                <w:kern w:val="0"/>
                <w:szCs w:val="21"/>
              </w:rPr>
              <w:t>倒</w:t>
            </w:r>
            <w:r>
              <w:rPr>
                <w:rFonts w:ascii="Times New Roman" w:hAnsi="Times New Roman"/>
                <w:kern w:val="0"/>
                <w:szCs w:val="21"/>
              </w:rPr>
              <w:t>扣</w:t>
            </w:r>
            <w:r>
              <w:rPr>
                <w:rFonts w:hint="default" w:ascii="Times New Roman" w:hAnsi="Times New Roman"/>
                <w:kern w:val="0"/>
                <w:szCs w:val="21"/>
              </w:rPr>
              <w:t>10</w:t>
            </w:r>
            <w:r>
              <w:rPr>
                <w:rFonts w:ascii="Times New Roman" w:hAnsi="Times New Roman"/>
                <w:kern w:val="0"/>
                <w:szCs w:val="21"/>
              </w:rPr>
              <w:t>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命题规范得3分，未按各类题型比重要求命题扣1分，降低标准命题扣2分。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考务管理材料完备、规范得2分。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考评人员规范派遣和考评得4分。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有规范的督导人员派遣记录得2分。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工件按要求保存得1分。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技能等级认定分类推进情况</w:t>
            </w:r>
          </w:p>
        </w:tc>
        <w:tc>
          <w:tcPr>
            <w:tcW w:w="456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推进技能等级认定工作，规范评价认定流程，加强事中事后监督管理。</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规范评估各类评价机构得2分，材料不规范扣1分，评估不规范扣1分。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备案机构广泛开展评价得3分，备案机构开展评价不足50%扣1分，不足30%扣2分，不足10%扣3分。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备案职业有对应技术资源得3分，不符合有一项扣1分；系统备案信息完整准确得1分。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技能等级认定分类推进情况</w:t>
            </w:r>
          </w:p>
        </w:tc>
        <w:tc>
          <w:tcPr>
            <w:tcW w:w="4563"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推进技能等级认定工作，规范评价认定流程，加强事中事后监督管理。</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报名条件符合要求得3分，个别考生条件不符合申报扣1分，少量考生条件不符合申报扣</w:t>
            </w:r>
            <w:r>
              <w:rPr>
                <w:rFonts w:hint="default" w:ascii="Times New Roman" w:hAnsi="Times New Roman"/>
                <w:kern w:val="0"/>
                <w:szCs w:val="21"/>
              </w:rPr>
              <w:t>3</w:t>
            </w:r>
            <w:r>
              <w:rPr>
                <w:rFonts w:ascii="Times New Roman" w:hAnsi="Times New Roman"/>
                <w:kern w:val="0"/>
                <w:szCs w:val="21"/>
              </w:rPr>
              <w:t>分，批量考生条件不符合申报</w:t>
            </w:r>
            <w:r>
              <w:rPr>
                <w:rFonts w:hint="default" w:ascii="Times New Roman" w:hAnsi="Times New Roman"/>
                <w:kern w:val="0"/>
                <w:szCs w:val="21"/>
              </w:rPr>
              <w:t>倒</w:t>
            </w:r>
            <w:r>
              <w:rPr>
                <w:rFonts w:ascii="Times New Roman" w:hAnsi="Times New Roman"/>
                <w:kern w:val="0"/>
                <w:szCs w:val="21"/>
              </w:rPr>
              <w:t>扣</w:t>
            </w:r>
            <w:r>
              <w:rPr>
                <w:rFonts w:hint="default" w:ascii="Times New Roman" w:hAnsi="Times New Roman"/>
                <w:kern w:val="0"/>
                <w:szCs w:val="21"/>
              </w:rPr>
              <w:t>10</w:t>
            </w:r>
            <w:r>
              <w:rPr>
                <w:rFonts w:ascii="Times New Roman" w:hAnsi="Times New Roman"/>
                <w:kern w:val="0"/>
                <w:szCs w:val="21"/>
              </w:rPr>
              <w:t>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命题规范得3分，未按各类题型比重要求命题扣1分，降低标准命题扣2分。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考务管理材料完备、规范得2分。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台账、影像资料完备得2分。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考评人员规范派遣和考评得4分。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4</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有规范的督导人员派遣记录得2分。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专项职业能力考核分类推进情况</w:t>
            </w:r>
          </w:p>
        </w:tc>
        <w:tc>
          <w:tcPr>
            <w:tcW w:w="456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规范开展考核认证工作，严格考务管理，加强质量督导，确保考核质量。</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专项考核机构备案流程规范，材料齐全得1分。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600"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考务管理规范，工作程序符合要求，相关记录完整得1分。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600"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监督管理措施到位，考评人员和督导人员使用和管理情况规范得1分。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jc w:val="center"/>
              <w:rPr>
                <w:rFonts w:ascii="Times New Roman" w:hAnsi="Times New Roman"/>
                <w:kern w:val="0"/>
                <w:szCs w:val="21"/>
              </w:rPr>
            </w:pPr>
            <w:r>
              <w:rPr>
                <w:rFonts w:ascii="Times New Roman" w:hAnsi="Times New Roman"/>
                <w:kern w:val="0"/>
                <w:szCs w:val="21"/>
              </w:rPr>
              <w:t>服务效能（30%）</w:t>
            </w: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jc w:val="center"/>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rPr>
                <w:rFonts w:ascii="Times New Roman" w:hAnsi="Times New Roman"/>
                <w:kern w:val="0"/>
                <w:szCs w:val="21"/>
              </w:rPr>
            </w:pPr>
          </w:p>
          <w:p>
            <w:pPr>
              <w:widowControl/>
              <w:jc w:val="center"/>
              <w:rPr>
                <w:rFonts w:ascii="Times New Roman" w:hAnsi="Times New Roman"/>
                <w:kern w:val="0"/>
                <w:szCs w:val="21"/>
              </w:rPr>
            </w:pPr>
            <w:r>
              <w:rPr>
                <w:rFonts w:ascii="Times New Roman" w:hAnsi="Times New Roman"/>
                <w:kern w:val="0"/>
                <w:szCs w:val="21"/>
              </w:rPr>
              <w:t>服务效能（30%）</w:t>
            </w:r>
          </w:p>
          <w:p>
            <w:pPr>
              <w:widowControl/>
              <w:jc w:val="center"/>
              <w:rPr>
                <w:rFonts w:ascii="Times New Roman" w:hAnsi="Times New Roman"/>
                <w:kern w:val="0"/>
                <w:szCs w:val="21"/>
              </w:rPr>
            </w:pPr>
          </w:p>
          <w:p>
            <w:pPr>
              <w:widowControl/>
              <w:jc w:val="center"/>
              <w:rPr>
                <w:rFonts w:ascii="Times New Roman" w:hAnsi="Times New Roman"/>
                <w:kern w:val="0"/>
                <w:szCs w:val="21"/>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命题质量管理</w:t>
            </w:r>
          </w:p>
        </w:tc>
        <w:tc>
          <w:tcPr>
            <w:tcW w:w="4563"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r>
              <w:rPr>
                <w:rFonts w:ascii="Times New Roman" w:hAnsi="Times New Roman"/>
                <w:kern w:val="0"/>
                <w:szCs w:val="21"/>
              </w:rPr>
              <w:t>市中心具有完善的题库运行管理规章制度并得到执行，题库室达到规定要求，命题制卷过程规范保密安全。</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市中心有题库(保密)室且面积15平方米以上2分。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vMerge w:val="restart"/>
            <w:tcBorders>
              <w:top w:val="single" w:color="auto" w:sz="4" w:space="0"/>
              <w:left w:val="nil"/>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p>
            <w:pPr>
              <w:widowControl/>
              <w:jc w:val="center"/>
              <w:rPr>
                <w:rFonts w:ascii="Times New Roman" w:hAnsi="Times New Roman"/>
                <w:b/>
                <w:bCs/>
                <w:kern w:val="0"/>
                <w:szCs w:val="21"/>
              </w:rPr>
            </w:pPr>
            <w:r>
              <w:rPr>
                <w:rFonts w:ascii="Times New Roman" w:hAnsi="Times New Roman"/>
                <w:b/>
                <w:bCs/>
                <w:kern w:val="0"/>
                <w:szCs w:val="21"/>
              </w:rPr>
              <w:t>　</w:t>
            </w:r>
          </w:p>
          <w:p>
            <w:pPr>
              <w:widowControl/>
              <w:jc w:val="center"/>
              <w:rPr>
                <w:rFonts w:ascii="Times New Roman" w:hAnsi="Times New Roman"/>
                <w:b/>
                <w:bCs/>
                <w:kern w:val="0"/>
                <w:szCs w:val="21"/>
              </w:rPr>
            </w:pPr>
            <w:r>
              <w:rPr>
                <w:rFonts w:ascii="Times New Roman" w:hAnsi="Times New Roman"/>
                <w:b/>
                <w:bCs/>
                <w:kern w:val="0"/>
                <w:szCs w:val="21"/>
              </w:rPr>
              <w:t>　</w:t>
            </w:r>
          </w:p>
          <w:p>
            <w:pPr>
              <w:widowControl/>
              <w:jc w:val="center"/>
              <w:rPr>
                <w:rFonts w:ascii="Times New Roman" w:hAnsi="Times New Roman"/>
                <w:b/>
                <w:bCs/>
                <w:kern w:val="0"/>
                <w:szCs w:val="21"/>
              </w:rPr>
            </w:pPr>
            <w:r>
              <w:rPr>
                <w:rFonts w:ascii="Times New Roman" w:hAnsi="Times New Roman"/>
                <w:b/>
                <w:bCs/>
                <w:kern w:val="0"/>
                <w:szCs w:val="21"/>
              </w:rPr>
              <w:t>　</w:t>
            </w:r>
          </w:p>
          <w:p>
            <w:pPr>
              <w:widowControl/>
              <w:jc w:val="center"/>
              <w:rPr>
                <w:rFonts w:ascii="Times New Roman" w:hAnsi="Times New Roman"/>
                <w:b/>
                <w:bCs/>
                <w:kern w:val="0"/>
                <w:szCs w:val="21"/>
              </w:rPr>
            </w:pPr>
            <w:r>
              <w:rPr>
                <w:rFonts w:ascii="Times New Roman" w:hAnsi="Times New Roman"/>
                <w:b/>
                <w:bCs/>
                <w:kern w:val="0"/>
                <w:szCs w:val="21"/>
              </w:rPr>
              <w:t>　</w:t>
            </w:r>
          </w:p>
          <w:p>
            <w:pPr>
              <w:widowControl/>
              <w:jc w:val="center"/>
              <w:rPr>
                <w:rFonts w:ascii="Times New Roman" w:hAnsi="Times New Roman"/>
                <w:b/>
                <w:bCs/>
                <w:kern w:val="0"/>
                <w:szCs w:val="21"/>
              </w:rPr>
            </w:pPr>
            <w:r>
              <w:rPr>
                <w:rFonts w:ascii="Times New Roman" w:hAnsi="Times New Roman"/>
                <w:b/>
                <w:bCs/>
                <w:kern w:val="0"/>
                <w:szCs w:val="21"/>
              </w:rPr>
              <w:t>　</w:t>
            </w:r>
          </w:p>
          <w:p>
            <w:pPr>
              <w:widowControl/>
              <w:jc w:val="center"/>
              <w:rPr>
                <w:rFonts w:ascii="Times New Roman" w:hAnsi="Times New Roman"/>
                <w:b/>
                <w:bCs/>
                <w:kern w:val="0"/>
                <w:szCs w:val="21"/>
              </w:rPr>
            </w:pPr>
            <w:r>
              <w:rPr>
                <w:rFonts w:ascii="Times New Roman" w:hAnsi="Times New Roman"/>
                <w:b/>
                <w:bCs/>
                <w:kern w:val="0"/>
                <w:szCs w:val="21"/>
              </w:rPr>
              <w:t>　</w:t>
            </w: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题库室有监控1分，有防盗门窗和保险柜1分。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vMerge w:val="continue"/>
            <w:tcBorders>
              <w:left w:val="nil"/>
              <w:right w:val="single" w:color="auto" w:sz="4" w:space="0"/>
            </w:tcBorders>
            <w:vAlign w:val="center"/>
          </w:tcPr>
          <w:p>
            <w:pPr>
              <w:widowControl/>
              <w:jc w:val="center"/>
              <w:rPr>
                <w:rFonts w:ascii="Times New Roman" w:hAnsi="Times New Roman"/>
                <w:b/>
                <w:bCs/>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题库室管理制度上墙2分。</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vMerge w:val="continue"/>
            <w:tcBorders>
              <w:left w:val="nil"/>
              <w:right w:val="single" w:color="auto" w:sz="4" w:space="0"/>
            </w:tcBorders>
            <w:vAlign w:val="center"/>
          </w:tcPr>
          <w:p>
            <w:pPr>
              <w:widowControl/>
              <w:jc w:val="center"/>
              <w:rPr>
                <w:rFonts w:ascii="Times New Roman" w:hAnsi="Times New Roman"/>
                <w:b/>
                <w:bCs/>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国家题库、省级题库管理系统正常运行各1分。</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vMerge w:val="continue"/>
            <w:tcBorders>
              <w:left w:val="nil"/>
              <w:right w:val="single" w:color="auto" w:sz="4" w:space="0"/>
            </w:tcBorders>
            <w:vAlign w:val="center"/>
          </w:tcPr>
          <w:p>
            <w:pPr>
              <w:widowControl/>
              <w:jc w:val="center"/>
              <w:rPr>
                <w:rFonts w:ascii="Times New Roman" w:hAnsi="Times New Roman"/>
                <w:b/>
                <w:bCs/>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题库室有出入登记台账1分，有电脑使用台账1分。</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vMerge w:val="continue"/>
            <w:tcBorders>
              <w:left w:val="nil"/>
              <w:right w:val="single" w:color="auto" w:sz="4" w:space="0"/>
            </w:tcBorders>
            <w:vAlign w:val="center"/>
          </w:tcPr>
          <w:p>
            <w:pPr>
              <w:widowControl/>
              <w:jc w:val="center"/>
              <w:rPr>
                <w:rFonts w:ascii="Times New Roman" w:hAnsi="Times New Roman"/>
                <w:b/>
                <w:bCs/>
                <w:kern w:val="0"/>
                <w:szCs w:val="21"/>
              </w:rPr>
            </w:pPr>
          </w:p>
        </w:tc>
      </w:tr>
      <w:tr>
        <w:tblPrEx>
          <w:tblLayout w:type="fixed"/>
          <w:tblCellMar>
            <w:top w:w="0" w:type="dxa"/>
            <w:left w:w="108" w:type="dxa"/>
            <w:bottom w:w="0" w:type="dxa"/>
            <w:right w:w="108" w:type="dxa"/>
          </w:tblCellMar>
        </w:tblPrEx>
        <w:trPr>
          <w:trHeight w:val="600"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有试卷质量反馈台账且得到处理1分；有试题出库台账1分。</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1"/>
              </w:rPr>
              <w:t>　</w:t>
            </w:r>
          </w:p>
        </w:tc>
        <w:tc>
          <w:tcPr>
            <w:tcW w:w="477" w:type="dxa"/>
            <w:vMerge w:val="continue"/>
            <w:tcBorders>
              <w:left w:val="nil"/>
              <w:bottom w:val="single" w:color="auto" w:sz="4" w:space="0"/>
              <w:right w:val="single" w:color="auto" w:sz="4" w:space="0"/>
            </w:tcBorders>
            <w:vAlign w:val="center"/>
          </w:tcPr>
          <w:p>
            <w:pPr>
              <w:widowControl/>
              <w:jc w:val="center"/>
              <w:rPr>
                <w:rFonts w:ascii="Times New Roman" w:hAnsi="Times New Roman"/>
                <w:b/>
                <w:bCs/>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档案管理</w:t>
            </w:r>
          </w:p>
        </w:tc>
        <w:tc>
          <w:tcPr>
            <w:tcW w:w="456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档案管理规范有序。</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有符合条件的档案室或档案柜1分。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一年内鉴定批次实施计划安排表、鉴定方案、考场记录情况表、鉴定前设施设备状况检查记录表、成绩汇总表等相关材料保存完整1分。</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nil"/>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nil"/>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所有鉴定批次发证审批材料保存完整1分。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证书管理</w:t>
            </w:r>
          </w:p>
        </w:tc>
        <w:tc>
          <w:tcPr>
            <w:tcW w:w="4563"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有健全的空白证书管理制度，有补证、废证台帐记录。</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有健全的空白证书管理制度，得1分。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有补证、废证台帐记录得2分。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有证书申领台账得1分。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数据统计</w:t>
            </w:r>
          </w:p>
        </w:tc>
        <w:tc>
          <w:tcPr>
            <w:tcW w:w="456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数据统计准确及时，按要求完成统计分析工作。</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各类鉴定和取证数据统计准确及时的得2分。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有季度、年度统计数据分析的得1分，少一项扣0.5分。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top w:val="single" w:color="auto" w:sz="4" w:space="0"/>
              <w:left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技术资源建设</w:t>
            </w:r>
          </w:p>
        </w:tc>
        <w:tc>
          <w:tcPr>
            <w:tcW w:w="4563" w:type="dxa"/>
            <w:vMerge w:val="restart"/>
            <w:tcBorders>
              <w:top w:val="single" w:color="auto" w:sz="4" w:space="0"/>
              <w:left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组织专家开发、修订、审定规范、题库等技术资源</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承担国家、省级职业技能标准（评价规范）、专项职业能力考核规范、题卷库等技术资源开发任务两项及以上，得2分。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2</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认真指导所辖企业开发企业岗位评价规范并组织初审，通过省中心备案并发布的，得1分。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推荐专家参与省级及以上规范、题库审定工作，得1分。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p>
        </w:tc>
        <w:tc>
          <w:tcPr>
            <w:tcW w:w="477" w:type="dxa"/>
            <w:vMerge w:val="continue"/>
            <w:tcBorders>
              <w:left w:val="single" w:color="auto" w:sz="4" w:space="0"/>
              <w:right w:val="single" w:color="auto" w:sz="4" w:space="0"/>
            </w:tcBorders>
            <w:vAlign w:val="center"/>
          </w:tcPr>
          <w:p>
            <w:pPr>
              <w:widowControl/>
              <w:jc w:val="left"/>
              <w:rPr>
                <w:rFonts w:ascii="Times New Roman" w:hAnsi="Times New Roman"/>
                <w:kern w:val="0"/>
                <w:szCs w:val="21"/>
              </w:rPr>
            </w:pPr>
          </w:p>
        </w:tc>
      </w:tr>
      <w:tr>
        <w:tblPrEx>
          <w:tblLayout w:type="fixed"/>
          <w:tblCellMar>
            <w:top w:w="0" w:type="dxa"/>
            <w:left w:w="108" w:type="dxa"/>
            <w:bottom w:w="0" w:type="dxa"/>
            <w:right w:w="108" w:type="dxa"/>
          </w:tblCellMar>
        </w:tblPrEx>
        <w:trPr>
          <w:trHeight w:val="431"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投诉举报</w:t>
            </w:r>
          </w:p>
        </w:tc>
        <w:tc>
          <w:tcPr>
            <w:tcW w:w="4563"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及时受理投诉举报，向投诉人反馈结果。</w:t>
            </w: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有投诉举报处理台账记录的，得1分。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1</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left w:val="single" w:color="auto" w:sz="4" w:space="0"/>
              <w:right w:val="single" w:color="auto" w:sz="4" w:space="0"/>
            </w:tcBorders>
            <w:vAlign w:val="center"/>
          </w:tcPr>
          <w:p>
            <w:pPr>
              <w:widowControl/>
              <w:jc w:val="center"/>
              <w:rPr>
                <w:rFonts w:ascii="Times New Roman" w:hAnsi="Times New Roman"/>
                <w:kern w:val="0"/>
                <w:szCs w:val="21"/>
              </w:rPr>
            </w:pPr>
          </w:p>
        </w:tc>
      </w:tr>
      <w:tr>
        <w:tblPrEx>
          <w:tblLayout w:type="fixed"/>
          <w:tblCellMar>
            <w:top w:w="0" w:type="dxa"/>
            <w:left w:w="108" w:type="dxa"/>
            <w:bottom w:w="0" w:type="dxa"/>
            <w:right w:w="108" w:type="dxa"/>
          </w:tblCellMar>
        </w:tblPrEx>
        <w:trPr>
          <w:trHeight w:val="1183" w:hRule="atLeast"/>
        </w:trPr>
        <w:tc>
          <w:tcPr>
            <w:tcW w:w="13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4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Cs w:val="21"/>
              </w:rPr>
            </w:pPr>
          </w:p>
        </w:tc>
        <w:tc>
          <w:tcPr>
            <w:tcW w:w="5314"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投诉举报在规定时间内办结的，得3分。投诉举报人社鉴定系统推诿扯皮、服务不到位，经核实，情况属实，扣</w:t>
            </w:r>
            <w:r>
              <w:rPr>
                <w:rFonts w:hint="default" w:ascii="Times New Roman" w:hAnsi="Times New Roman"/>
                <w:kern w:val="0"/>
                <w:szCs w:val="21"/>
              </w:rPr>
              <w:t>3</w:t>
            </w:r>
            <w:r>
              <w:rPr>
                <w:rFonts w:ascii="Times New Roman" w:hAnsi="Times New Roman"/>
                <w:kern w:val="0"/>
                <w:szCs w:val="21"/>
              </w:rPr>
              <w:t>分；同一事件多次到相关部门投诉或咨询的，扣</w:t>
            </w:r>
            <w:r>
              <w:rPr>
                <w:rFonts w:hint="default" w:ascii="Times New Roman" w:hAnsi="Times New Roman"/>
                <w:kern w:val="0"/>
                <w:szCs w:val="21"/>
              </w:rPr>
              <w:t>3</w:t>
            </w:r>
            <w:r>
              <w:rPr>
                <w:rFonts w:ascii="Times New Roman" w:hAnsi="Times New Roman"/>
                <w:kern w:val="0"/>
                <w:szCs w:val="21"/>
              </w:rPr>
              <w:t>分。</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　</w:t>
            </w:r>
          </w:p>
        </w:tc>
        <w:tc>
          <w:tcPr>
            <w:tcW w:w="47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Cs w:val="21"/>
              </w:rPr>
            </w:pPr>
            <w:r>
              <w:rPr>
                <w:rFonts w:ascii="Times New Roman" w:hAnsi="Times New Roman"/>
                <w:kern w:val="0"/>
                <w:szCs w:val="21"/>
              </w:rPr>
              <w:t>3</w:t>
            </w:r>
          </w:p>
        </w:tc>
        <w:tc>
          <w:tcPr>
            <w:tcW w:w="477"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kern w:val="0"/>
                <w:szCs w:val="21"/>
              </w:rPr>
            </w:pPr>
            <w:r>
              <w:rPr>
                <w:rFonts w:ascii="Times New Roman" w:hAnsi="Times New Roman"/>
                <w:kern w:val="0"/>
                <w:szCs w:val="21"/>
              </w:rPr>
              <w:t>　</w:t>
            </w:r>
          </w:p>
        </w:tc>
        <w:tc>
          <w:tcPr>
            <w:tcW w:w="477"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kern w:val="0"/>
                <w:szCs w:val="21"/>
              </w:rPr>
            </w:pPr>
          </w:p>
        </w:tc>
      </w:tr>
    </w:tbl>
    <w:p>
      <w:pPr>
        <w:spacing w:line="20" w:lineRule="exact"/>
        <w:rPr>
          <w:rFonts w:ascii="Times New Roman" w:hAnsi="Times New Roman" w:eastAsia="方正仿宋_GBK"/>
          <w:kern w:val="0"/>
          <w:sz w:val="32"/>
          <w:szCs w:val="32"/>
        </w:rPr>
      </w:pPr>
    </w:p>
    <w:p>
      <w:r>
        <w:rPr>
          <w:rFonts w:hint="default" w:ascii="Times New Roman" w:hAnsi="Times New Roman" w:eastAsia="仿宋"/>
          <w:sz w:val="32"/>
          <w:szCs w:val="32"/>
        </w:rPr>
        <w:t xml:space="preserve"> </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57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龚璨</cp:lastModifiedBy>
  <dcterms:modified xsi:type="dcterms:W3CDTF">2020-09-02T02:59:13Z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2052-10.1.0.6445</vt:lpwstr>
  </property>
</Properties>
</file>