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after="0" w:line="360" w:lineRule="auto"/>
        <w:ind w:firstLine="0" w:firstLineChars="0"/>
        <w:rPr>
          <w:rFonts w:ascii="方正小标宋简体" w:hAnsi="方正小标宋简体" w:eastAsia="方正小标宋简体" w:cs="方正小标宋简体"/>
          <w:kern w:val="44"/>
          <w:sz w:val="36"/>
          <w:szCs w:val="36"/>
        </w:rPr>
      </w:pPr>
      <w:r>
        <w:rPr>
          <w:rFonts w:hint="eastAsia" w:ascii="方正小标宋简体" w:hAnsi="方正小标宋简体" w:eastAsia="方正小标宋简体" w:cs="方正小标宋简体"/>
          <w:kern w:val="44"/>
          <w:sz w:val="36"/>
          <w:szCs w:val="36"/>
        </w:rPr>
        <w:t>广东省电子税务局增值税（电子）普通发票代开（网页端）操作手册</w:t>
      </w:r>
    </w:p>
    <w:p>
      <w:pPr>
        <w:ind w:firstLine="420"/>
      </w:pPr>
    </w:p>
    <w:p>
      <w:pPr>
        <w:numPr>
          <w:ilvl w:val="0"/>
          <w:numId w:val="1"/>
        </w:numPr>
        <w:ind w:left="420" w:firstLine="420" w:firstLineChars="0"/>
        <w:rPr>
          <w:rFonts w:ascii="仿宋_GB2312" w:hAnsi="仿宋_GB2312" w:eastAsia="仿宋_GB2312" w:cs="仿宋_GB2312"/>
          <w:sz w:val="30"/>
          <w:szCs w:val="30"/>
        </w:rPr>
      </w:pPr>
      <w:r>
        <w:rPr>
          <w:rFonts w:hint="eastAsia" w:ascii="仿宋_GB2312" w:hAnsi="仿宋_GB2312" w:eastAsia="仿宋_GB2312" w:cs="仿宋_GB2312"/>
          <w:b/>
          <w:bCs/>
          <w:sz w:val="30"/>
          <w:szCs w:val="30"/>
        </w:rPr>
        <w:t>登陆。</w:t>
      </w:r>
      <w:r>
        <w:rPr>
          <w:rFonts w:hint="eastAsia" w:ascii="仿宋_GB2312" w:hAnsi="仿宋_GB2312" w:eastAsia="仿宋_GB2312" w:cs="仿宋_GB2312"/>
          <w:sz w:val="30"/>
          <w:szCs w:val="30"/>
        </w:rPr>
        <w:t>自然人纳税人登录广东省电子税务局，进入我要办税-事项办理-增值税(电子)普通发票代开功能。</w:t>
      </w:r>
    </w:p>
    <w:p>
      <w:pPr>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6690" cy="2896870"/>
            <wp:effectExtent l="0" t="0" r="635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6690" cy="2896870"/>
                    </a:xfrm>
                    <a:prstGeom prst="rect">
                      <a:avLst/>
                    </a:prstGeom>
                    <a:noFill/>
                    <a:ln>
                      <a:noFill/>
                    </a:ln>
                  </pic:spPr>
                </pic:pic>
              </a:graphicData>
            </a:graphic>
          </wp:inline>
        </w:drawing>
      </w:r>
    </w:p>
    <w:p>
      <w:pPr>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3675" cy="3096895"/>
            <wp:effectExtent l="0" t="0" r="1460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3675" cy="3096895"/>
                    </a:xfrm>
                    <a:prstGeom prst="rect">
                      <a:avLst/>
                    </a:prstGeom>
                    <a:noFill/>
                    <a:ln>
                      <a:noFill/>
                    </a:ln>
                  </pic:spPr>
                </pic:pic>
              </a:graphicData>
            </a:graphic>
          </wp:inline>
        </w:drawing>
      </w:r>
    </w:p>
    <w:p>
      <w:pPr>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0" distR="0">
            <wp:extent cx="5274310" cy="24733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73325"/>
                    </a:xfrm>
                    <a:prstGeom prst="rect">
                      <a:avLst/>
                    </a:prstGeom>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w:t>
      </w:r>
      <w:r>
        <w:rPr>
          <w:rFonts w:hint="eastAsia" w:ascii="仿宋_GB2312" w:hAnsi="仿宋_GB2312" w:eastAsia="仿宋_GB2312" w:cs="仿宋_GB2312"/>
          <w:b/>
          <w:kern w:val="0"/>
          <w:sz w:val="30"/>
          <w:szCs w:val="30"/>
        </w:rPr>
        <w:t>新增</w:t>
      </w:r>
      <w:r>
        <w:rPr>
          <w:rFonts w:hint="eastAsia" w:ascii="仿宋_GB2312" w:hAnsi="仿宋_GB2312" w:eastAsia="仿宋_GB2312" w:cs="仿宋_GB2312"/>
          <w:sz w:val="30"/>
          <w:szCs w:val="30"/>
        </w:rPr>
        <w:t>：点击“新增”按钮会出现代开发票须知，然后点击“我已阅读并同意”进入增值税(电子)普通发票新增界面。</w:t>
      </w:r>
    </w:p>
    <w:p>
      <w:pPr>
        <w:widowControl/>
        <w:adjustRightInd w:val="0"/>
        <w:snapToGrid w:val="0"/>
        <w:ind w:firstLine="198" w:firstLineChars="66"/>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5420" cy="351155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5265420" cy="3511550"/>
                    </a:xfrm>
                    <a:prstGeom prst="rect">
                      <a:avLst/>
                    </a:prstGeom>
                    <a:noFill/>
                    <a:ln>
                      <a:noFill/>
                    </a:ln>
                  </pic:spPr>
                </pic:pic>
              </a:graphicData>
            </a:graphic>
          </wp:inline>
        </w:drawing>
      </w:r>
    </w:p>
    <w:p>
      <w:pPr>
        <w:widowControl/>
        <w:adjustRightInd w:val="0"/>
        <w:snapToGrid w:val="0"/>
        <w:ind w:firstLine="600"/>
        <w:jc w:val="center"/>
        <w:rPr>
          <w:rFonts w:ascii="仿宋_GB2312" w:hAnsi="仿宋_GB2312" w:eastAsia="仿宋_GB2312" w:cs="仿宋_GB2312"/>
          <w:sz w:val="30"/>
          <w:szCs w:val="30"/>
        </w:rPr>
      </w:pPr>
      <w:r>
        <w:drawing>
          <wp:inline distT="0" distB="0" distL="114300" distR="114300">
            <wp:extent cx="4836795" cy="1835150"/>
            <wp:effectExtent l="0" t="0" r="1905"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4836795" cy="1835150"/>
                    </a:xfrm>
                    <a:prstGeom prst="rect">
                      <a:avLst/>
                    </a:prstGeom>
                    <a:noFill/>
                    <a:ln w="9525">
                      <a:noFill/>
                    </a:ln>
                  </pic:spPr>
                </pic:pic>
              </a:graphicData>
            </a:graphic>
          </wp:inline>
        </w:drawing>
      </w:r>
    </w:p>
    <w:p>
      <w:pPr>
        <w:pStyle w:val="17"/>
        <w:numPr>
          <w:ilvl w:val="0"/>
          <w:numId w:val="2"/>
        </w:numPr>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选择“增值税电子普通发票”或者“增值税普通发票”，填写。进入“增值税电子普通发票新增”窗口，填写申请单内容：</w:t>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4150" cy="3052445"/>
            <wp:effectExtent l="0" t="0" r="12700" b="146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64150" cy="3052445"/>
                    </a:xfrm>
                    <a:prstGeom prst="rect">
                      <a:avLst/>
                    </a:prstGeom>
                    <a:noFill/>
                    <a:ln>
                      <a:noFill/>
                    </a:ln>
                  </pic:spPr>
                </pic:pic>
              </a:graphicData>
            </a:graphic>
          </wp:inline>
        </w:drawing>
      </w:r>
    </w:p>
    <w:p>
      <w:pPr>
        <w:pStyle w:val="17"/>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1）选择“行政区域”、“街道乡镇”和“代开税务机关”。</w:t>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86375" cy="381000"/>
            <wp:effectExtent l="0" t="0" r="952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6"/>
                    <a:stretch>
                      <a:fillRect/>
                    </a:stretch>
                  </pic:blipFill>
                  <pic:spPr>
                    <a:xfrm>
                      <a:off x="0" y="0"/>
                      <a:ext cx="5286375" cy="381000"/>
                    </a:xfrm>
                    <a:prstGeom prst="rect">
                      <a:avLst/>
                    </a:prstGeom>
                    <a:noFill/>
                    <a:ln>
                      <a:noFill/>
                    </a:ln>
                  </pic:spPr>
                </pic:pic>
              </a:graphicData>
            </a:graphic>
          </wp:inline>
        </w:drawing>
      </w:r>
    </w:p>
    <w:p>
      <w:pPr>
        <w:pStyle w:val="17"/>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录入“付款方”信息，输入“纳税人识别号”，点击回车，如付款方为广东省的单位登记户，系统自动带出其登记备案的“纳税人名称”、“电话号码”、“开户银行”、“银行营业网点”、“银行账号”和“地址”。</w:t>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备注：①输入付款方信息后，如点击“添加为常用客户”后，以后输入“纳税人识别号”后可自动带出常用付款方信息；②如果填写申请前已经维护了常用客户，可点击“选择常用客户”，从弹窗中选择付款方信息；③勾选“发票是否推送付款方”为“是”，如付款方为广东省电子税务局企业或个人用户，电子发票会推送至付款方，付款方可登录电子税务局查看、下载发票。）</w:t>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0" distR="0">
            <wp:extent cx="5274310" cy="789940"/>
            <wp:effectExtent l="0" t="0" r="2540"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74310" cy="789940"/>
                    </a:xfrm>
                    <a:prstGeom prst="rect">
                      <a:avLst/>
                    </a:prstGeom>
                  </pic:spPr>
                </pic:pic>
              </a:graphicData>
            </a:graphic>
          </wp:inline>
        </w:drawing>
      </w:r>
      <w:r>
        <w:rPr>
          <w:rFonts w:hint="eastAsia" w:ascii="仿宋_GB2312" w:hAnsi="仿宋_GB2312" w:eastAsia="仿宋_GB2312" w:cs="仿宋_GB2312"/>
          <w:sz w:val="30"/>
          <w:szCs w:val="30"/>
        </w:rPr>
        <w:t xml:space="preserve">     3）录入“收款方”信息，勾选对应“行业”，填写“地址”。（备注：如果销售额按日不达500元起征点的，“减免税类型”选择“按次未达起征点”）</w:t>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6850" cy="933450"/>
            <wp:effectExtent l="0" t="0" r="0" b="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8"/>
                    <a:stretch>
                      <a:fillRect/>
                    </a:stretch>
                  </pic:blipFill>
                  <pic:spPr>
                    <a:xfrm>
                      <a:off x="0" y="0"/>
                      <a:ext cx="5276850" cy="933450"/>
                    </a:xfrm>
                    <a:prstGeom prst="rect">
                      <a:avLst/>
                    </a:prstGeom>
                    <a:noFill/>
                    <a:ln>
                      <a:noFill/>
                    </a:ln>
                  </pic:spPr>
                </pic:pic>
              </a:graphicData>
            </a:graphic>
          </wp:inline>
        </w:drawing>
      </w:r>
    </w:p>
    <w:p>
      <w:pPr>
        <w:pStyle w:val="17"/>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4）在“货物或应税劳务、服务明细”点击“新增”选择代开货物名称、单位、数量、单价等信息。</w:t>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86375" cy="1781175"/>
            <wp:effectExtent l="0" t="0" r="9525" b="952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9"/>
                    <a:stretch>
                      <a:fillRect/>
                    </a:stretch>
                  </pic:blipFill>
                  <pic:spPr>
                    <a:xfrm>
                      <a:off x="0" y="0"/>
                      <a:ext cx="5286375" cy="1781175"/>
                    </a:xfrm>
                    <a:prstGeom prst="rect">
                      <a:avLst/>
                    </a:prstGeom>
                    <a:noFill/>
                    <a:ln>
                      <a:noFill/>
                    </a:ln>
                  </pic:spPr>
                </pic:pic>
              </a:graphicData>
            </a:graphic>
          </wp:inline>
        </w:drawing>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“货物或应税劳务、服务名称”暂支持录入限定的开票项目。点击“货物或应税劳务、服务名称”栏，弹出“商品查询”窗口。</w:t>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6850" cy="1790700"/>
            <wp:effectExtent l="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0"/>
                    <a:stretch>
                      <a:fillRect/>
                    </a:stretch>
                  </pic:blipFill>
                  <pic:spPr>
                    <a:xfrm>
                      <a:off x="0" y="0"/>
                      <a:ext cx="5276850" cy="1790700"/>
                    </a:xfrm>
                    <a:prstGeom prst="rect">
                      <a:avLst/>
                    </a:prstGeom>
                    <a:noFill/>
                    <a:ln>
                      <a:noFill/>
                    </a:ln>
                  </pic:spPr>
                </pic:pic>
              </a:graphicData>
            </a:graphic>
          </wp:inline>
        </w:drawing>
      </w:r>
    </w:p>
    <w:p>
      <w:pPr>
        <w:pStyle w:val="17"/>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通过搜索栏查询所需开具的开票名称项目，可选择“商品名称”或对应的“关键字”作为开票项目。</w:t>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6850" cy="2628900"/>
            <wp:effectExtent l="0" t="0" r="0"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1"/>
                    <a:stretch>
                      <a:fillRect/>
                    </a:stretch>
                  </pic:blipFill>
                  <pic:spPr>
                    <a:xfrm>
                      <a:off x="0" y="0"/>
                      <a:ext cx="5276850" cy="2628900"/>
                    </a:xfrm>
                    <a:prstGeom prst="rect">
                      <a:avLst/>
                    </a:prstGeom>
                    <a:noFill/>
                    <a:ln>
                      <a:noFill/>
                    </a:ln>
                  </pic:spPr>
                </pic:pic>
              </a:graphicData>
            </a:graphic>
          </wp:inline>
        </w:drawing>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（5）系统自动计算本次代开需缴款的税费明细。</w:t>
      </w:r>
    </w:p>
    <w:p>
      <w:pPr>
        <w:pStyle w:val="17"/>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6850" cy="1247775"/>
            <wp:effectExtent l="0" t="0" r="0" b="952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22"/>
                    <a:stretch>
                      <a:fillRect/>
                    </a:stretch>
                  </pic:blipFill>
                  <pic:spPr>
                    <a:xfrm>
                      <a:off x="0" y="0"/>
                      <a:ext cx="5276850" cy="1247775"/>
                    </a:xfrm>
                    <a:prstGeom prst="rect">
                      <a:avLst/>
                    </a:prstGeom>
                    <a:noFill/>
                    <a:ln>
                      <a:noFill/>
                    </a:ln>
                  </pic:spPr>
                </pic:pic>
              </a:graphicData>
            </a:graphic>
          </wp:inline>
        </w:drawing>
      </w:r>
    </w:p>
    <w:p>
      <w:pPr>
        <w:pStyle w:val="17"/>
        <w:ind w:firstLine="0" w:firstLineChars="0"/>
        <w:jc w:val="left"/>
        <w:rPr>
          <w:rFonts w:hint="eastAsia" w:ascii="仿宋_GB2312" w:hAnsi="仿宋_GB2312" w:eastAsia="仿宋_GB2312" w:cs="仿宋_GB2312"/>
          <w:sz w:val="30"/>
          <w:szCs w:val="30"/>
        </w:rPr>
      </w:pPr>
      <w:r>
        <w:rPr>
          <w:rFonts w:ascii="仿宋_GB2312" w:hAnsi="仿宋_GB2312" w:eastAsia="仿宋_GB2312" w:cs="仿宋_GB2312"/>
          <w:sz w:val="30"/>
          <w:szCs w:val="30"/>
        </w:rPr>
        <w:tab/>
      </w:r>
      <w:r>
        <w:rPr>
          <w:rFonts w:hint="eastAsia" w:ascii="仿宋_GB2312" w:hAnsi="仿宋_GB2312" w:eastAsia="仿宋_GB2312" w:cs="仿宋_GB2312"/>
          <w:color w:val="FF0000"/>
          <w:sz w:val="30"/>
          <w:szCs w:val="30"/>
          <w:lang w:eastAsia="zh-CN"/>
        </w:rPr>
        <w:t>注：</w:t>
      </w:r>
      <w:r>
        <w:rPr>
          <w:rFonts w:hint="eastAsia" w:ascii="仿宋_GB2312" w:hAnsi="仿宋_GB2312" w:eastAsia="仿宋_GB2312" w:cs="仿宋_GB2312"/>
          <w:color w:val="FF0000"/>
          <w:sz w:val="30"/>
          <w:szCs w:val="30"/>
        </w:rPr>
        <w:t>部分</w:t>
      </w:r>
      <w:r>
        <w:rPr>
          <w:rFonts w:ascii="仿宋_GB2312" w:hAnsi="仿宋_GB2312" w:eastAsia="仿宋_GB2312" w:cs="仿宋_GB2312"/>
          <w:color w:val="FF0000"/>
          <w:sz w:val="30"/>
          <w:szCs w:val="30"/>
        </w:rPr>
        <w:t>开票项目</w:t>
      </w:r>
      <w:r>
        <w:rPr>
          <w:rFonts w:hint="eastAsia" w:ascii="仿宋_GB2312" w:hAnsi="仿宋_GB2312" w:eastAsia="仿宋_GB2312" w:cs="仿宋_GB2312"/>
          <w:color w:val="FF0000"/>
          <w:sz w:val="30"/>
          <w:szCs w:val="30"/>
        </w:rPr>
        <w:t>会</w:t>
      </w:r>
      <w:r>
        <w:rPr>
          <w:rFonts w:ascii="仿宋_GB2312" w:hAnsi="仿宋_GB2312" w:eastAsia="仿宋_GB2312" w:cs="仿宋_GB2312"/>
          <w:color w:val="FF0000"/>
          <w:sz w:val="30"/>
          <w:szCs w:val="30"/>
        </w:rPr>
        <w:t>由税务</w:t>
      </w:r>
      <w:r>
        <w:rPr>
          <w:rFonts w:hint="eastAsia" w:ascii="仿宋_GB2312" w:hAnsi="仿宋_GB2312" w:eastAsia="仿宋_GB2312" w:cs="仿宋_GB2312"/>
          <w:color w:val="FF0000"/>
          <w:sz w:val="30"/>
          <w:szCs w:val="30"/>
        </w:rPr>
        <w:t>人员</w:t>
      </w:r>
      <w:r>
        <w:rPr>
          <w:rFonts w:ascii="仿宋_GB2312" w:hAnsi="仿宋_GB2312" w:eastAsia="仿宋_GB2312" w:cs="仿宋_GB2312"/>
          <w:color w:val="FF0000"/>
          <w:sz w:val="30"/>
          <w:szCs w:val="30"/>
        </w:rPr>
        <w:t>受理</w:t>
      </w:r>
      <w:r>
        <w:rPr>
          <w:rFonts w:hint="eastAsia" w:ascii="仿宋_GB2312" w:hAnsi="仿宋_GB2312" w:eastAsia="仿宋_GB2312" w:cs="仿宋_GB2312"/>
          <w:color w:val="FF0000"/>
          <w:sz w:val="30"/>
          <w:szCs w:val="30"/>
        </w:rPr>
        <w:t>申请单</w:t>
      </w:r>
      <w:r>
        <w:rPr>
          <w:rFonts w:ascii="仿宋_GB2312" w:hAnsi="仿宋_GB2312" w:eastAsia="仿宋_GB2312" w:cs="仿宋_GB2312"/>
          <w:color w:val="FF0000"/>
          <w:sz w:val="30"/>
          <w:szCs w:val="30"/>
        </w:rPr>
        <w:t>时，</w:t>
      </w:r>
      <w:r>
        <w:rPr>
          <w:rFonts w:hint="eastAsia" w:ascii="仿宋_GB2312" w:hAnsi="仿宋_GB2312" w:eastAsia="仿宋_GB2312" w:cs="仿宋_GB2312"/>
          <w:color w:val="FF0000"/>
          <w:sz w:val="30"/>
          <w:szCs w:val="30"/>
        </w:rPr>
        <w:t>补充</w:t>
      </w:r>
      <w:r>
        <w:rPr>
          <w:rFonts w:ascii="仿宋_GB2312" w:hAnsi="仿宋_GB2312" w:eastAsia="仿宋_GB2312" w:cs="仿宋_GB2312"/>
          <w:color w:val="FF0000"/>
          <w:sz w:val="30"/>
          <w:szCs w:val="30"/>
        </w:rPr>
        <w:t>征收个人所得税应缴信息</w:t>
      </w:r>
      <w:r>
        <w:rPr>
          <w:rFonts w:hint="eastAsia" w:ascii="仿宋_GB2312" w:hAnsi="仿宋_GB2312" w:eastAsia="仿宋_GB2312" w:cs="仿宋_GB2312"/>
          <w:color w:val="FF0000"/>
          <w:sz w:val="30"/>
          <w:szCs w:val="30"/>
        </w:rPr>
        <w:t>。补充</w:t>
      </w:r>
      <w:r>
        <w:rPr>
          <w:rFonts w:ascii="仿宋_GB2312" w:hAnsi="仿宋_GB2312" w:eastAsia="仿宋_GB2312" w:cs="仿宋_GB2312"/>
          <w:color w:val="FF0000"/>
          <w:sz w:val="30"/>
          <w:szCs w:val="30"/>
        </w:rPr>
        <w:t>后纳税人可选择确认是否按</w:t>
      </w:r>
      <w:r>
        <w:rPr>
          <w:rFonts w:hint="eastAsia" w:ascii="仿宋_GB2312" w:hAnsi="仿宋_GB2312" w:eastAsia="仿宋_GB2312" w:cs="仿宋_GB2312"/>
          <w:color w:val="FF0000"/>
          <w:sz w:val="30"/>
          <w:szCs w:val="30"/>
        </w:rPr>
        <w:t>此</w:t>
      </w:r>
      <w:r>
        <w:rPr>
          <w:rFonts w:ascii="仿宋_GB2312" w:hAnsi="仿宋_GB2312" w:eastAsia="仿宋_GB2312" w:cs="仿宋_GB2312"/>
          <w:color w:val="FF0000"/>
          <w:sz w:val="30"/>
          <w:szCs w:val="30"/>
        </w:rPr>
        <w:t>应缴税费金额办理。</w:t>
      </w:r>
    </w:p>
    <w:p>
      <w:pPr>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6）选择行业时，行业下拉列表中有显示红色的行业选项，这种类型的选项是系统根据纳税人选择的商品推荐的行业。</w:t>
      </w:r>
    </w:p>
    <w:p>
      <w:pPr>
        <w:widowControl/>
        <w:adjustRightInd w:val="0"/>
        <w:snapToGrid w:val="0"/>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4310" cy="2722245"/>
            <wp:effectExtent l="0" t="0" r="254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274310" cy="2722245"/>
                    </a:xfrm>
                    <a:prstGeom prst="rect">
                      <a:avLst/>
                    </a:prstGeom>
                    <a:noFill/>
                    <a:ln>
                      <a:noFill/>
                    </a:ln>
                  </pic:spPr>
                </pic:pic>
              </a:graphicData>
            </a:graphic>
          </wp:inline>
        </w:drawing>
      </w:r>
    </w:p>
    <w:p>
      <w:pPr>
        <w:pStyle w:val="17"/>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7）填写“收款人”和“复核人”，如有业务需要，可填写“备注”</w:t>
      </w:r>
      <w:bookmarkStart w:id="0" w:name="_GoBack"/>
      <w:bookmarkEnd w:id="0"/>
      <w:r>
        <w:rPr>
          <w:rFonts w:hint="eastAsia" w:ascii="仿宋_GB2312" w:hAnsi="仿宋_GB2312" w:eastAsia="仿宋_GB2312" w:cs="仿宋_GB2312"/>
          <w:sz w:val="30"/>
          <w:szCs w:val="30"/>
        </w:rPr>
        <w:t>信息。</w:t>
      </w:r>
    </w:p>
    <w:p>
      <w:pPr>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57800" cy="628650"/>
            <wp:effectExtent l="0" t="0" r="0" b="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24"/>
                    <a:stretch>
                      <a:fillRect/>
                    </a:stretch>
                  </pic:blipFill>
                  <pic:spPr>
                    <a:xfrm>
                      <a:off x="0" y="0"/>
                      <a:ext cx="5257800" cy="628650"/>
                    </a:xfrm>
                    <a:prstGeom prst="rect">
                      <a:avLst/>
                    </a:prstGeom>
                    <a:noFill/>
                    <a:ln>
                      <a:noFill/>
                    </a:ln>
                  </pic:spPr>
                </pic:pic>
              </a:graphicData>
            </a:graphic>
          </wp:inline>
        </w:drawing>
      </w:r>
    </w:p>
    <w:p>
      <w:pPr>
        <w:ind w:firstLine="0" w:firstLineChars="0"/>
        <w:jc w:val="left"/>
        <w:rPr>
          <w:rFonts w:ascii="仿宋_GB2312" w:hAnsi="仿宋_GB2312" w:eastAsia="仿宋_GB2312" w:cs="仿宋_GB2312"/>
          <w:sz w:val="30"/>
          <w:szCs w:val="30"/>
        </w:rPr>
      </w:pP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8）然后点击“保存”进行保存发票。</w:t>
      </w:r>
    </w:p>
    <w:p>
      <w:pPr>
        <w:widowControl/>
        <w:adjustRightInd w:val="0"/>
        <w:snapToGrid w:val="0"/>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6690" cy="2540000"/>
            <wp:effectExtent l="0" t="0" r="10160" b="1270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5"/>
                    <a:stretch>
                      <a:fillRect/>
                    </a:stretch>
                  </pic:blipFill>
                  <pic:spPr>
                    <a:xfrm>
                      <a:off x="0" y="0"/>
                      <a:ext cx="5266690" cy="2540000"/>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p>
    <w:p>
      <w:pPr>
        <w:widowControl/>
        <w:adjustRightInd w:val="0"/>
        <w:snapToGrid w:val="0"/>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9865" cy="2696210"/>
            <wp:effectExtent l="0" t="0" r="3175"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5269865" cy="2696210"/>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w:t>
      </w:r>
      <w:r>
        <w:rPr>
          <w:rFonts w:hint="eastAsia" w:ascii="仿宋_GB2312" w:hAnsi="仿宋_GB2312" w:eastAsia="仿宋_GB2312" w:cs="仿宋_GB2312"/>
          <w:b/>
          <w:kern w:val="0"/>
          <w:sz w:val="30"/>
          <w:szCs w:val="30"/>
        </w:rPr>
        <w:t>修改</w:t>
      </w:r>
      <w:r>
        <w:rPr>
          <w:rFonts w:hint="eastAsia" w:ascii="仿宋_GB2312" w:hAnsi="仿宋_GB2312" w:eastAsia="仿宋_GB2312" w:cs="仿宋_GB2312"/>
          <w:sz w:val="30"/>
          <w:szCs w:val="30"/>
        </w:rPr>
        <w:t>：若代开的是增值税电子普通发票，选择发票查询的类型是“增值税电子普通发票”，如果开的是增值税普通发票，选择发票类型“增值税普通发票”；查询数据后勾选对应的发票申请单点击“修改”按钮进入增值税普通发票修改界面进行发票信息修改；修改完后点击“保存”按钮完成修改。</w:t>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9865" cy="2557780"/>
            <wp:effectExtent l="0" t="0" r="3175" b="25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7"/>
                    <a:stretch>
                      <a:fillRect/>
                    </a:stretch>
                  </pic:blipFill>
                  <pic:spPr>
                    <a:xfrm>
                      <a:off x="0" y="0"/>
                      <a:ext cx="5269865" cy="2557780"/>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9865" cy="2955290"/>
            <wp:effectExtent l="0" t="0" r="3175"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8"/>
                    <a:stretch>
                      <a:fillRect/>
                    </a:stretch>
                  </pic:blipFill>
                  <pic:spPr>
                    <a:xfrm>
                      <a:off x="0" y="0"/>
                      <a:ext cx="5269865" cy="2955290"/>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5420" cy="3138170"/>
            <wp:effectExtent l="0" t="0" r="7620" b="127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9"/>
                    <a:stretch>
                      <a:fillRect/>
                    </a:stretch>
                  </pic:blipFill>
                  <pic:spPr>
                    <a:xfrm>
                      <a:off x="0" y="0"/>
                      <a:ext cx="5265420" cy="3138170"/>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9865" cy="2696210"/>
            <wp:effectExtent l="0" t="0" r="3175" b="127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6"/>
                    <a:stretch>
                      <a:fillRect/>
                    </a:stretch>
                  </pic:blipFill>
                  <pic:spPr>
                    <a:xfrm>
                      <a:off x="0" y="0"/>
                      <a:ext cx="5269865" cy="2696210"/>
                    </a:xfrm>
                    <a:prstGeom prst="rect">
                      <a:avLst/>
                    </a:prstGeom>
                    <a:noFill/>
                    <a:ln>
                      <a:noFill/>
                    </a:ln>
                  </pic:spPr>
                </pic:pic>
              </a:graphicData>
            </a:graphic>
          </wp:inline>
        </w:drawing>
      </w:r>
      <w:r>
        <w:rPr>
          <w:rFonts w:hint="eastAsia" w:ascii="仿宋_GB2312" w:hAnsi="仿宋_GB2312" w:eastAsia="仿宋_GB2312" w:cs="仿宋_GB2312"/>
          <w:sz w:val="30"/>
          <w:szCs w:val="30"/>
        </w:rPr>
        <w:t xml:space="preserve"> </w:t>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w:t>
      </w:r>
      <w:r>
        <w:rPr>
          <w:rFonts w:hint="eastAsia" w:ascii="仿宋_GB2312" w:hAnsi="仿宋_GB2312" w:eastAsia="仿宋_GB2312" w:cs="仿宋_GB2312"/>
          <w:b/>
          <w:kern w:val="0"/>
          <w:sz w:val="30"/>
          <w:szCs w:val="30"/>
        </w:rPr>
        <w:t>删除：</w:t>
      </w:r>
      <w:r>
        <w:rPr>
          <w:rFonts w:hint="eastAsia" w:ascii="仿宋_GB2312" w:hAnsi="仿宋_GB2312" w:eastAsia="仿宋_GB2312" w:cs="仿宋_GB2312"/>
          <w:sz w:val="30"/>
          <w:szCs w:val="30"/>
        </w:rPr>
        <w:t>若代开的是增值税电子普通发票，选择发票查询的类型是“增值税电子普通发票”，查询数据后进行删除；若代开的是增值税普通发票，选择发票类型“增值税普通发票”进行查询，查询出数据后勾选对应的发票点击“删除”然后提示：确定删除所选申请单，点击“确定”进行删除。</w:t>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6690" cy="3472180"/>
            <wp:effectExtent l="0" t="0" r="6350" b="254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0"/>
                    <a:stretch>
                      <a:fillRect/>
                    </a:stretch>
                  </pic:blipFill>
                  <pic:spPr>
                    <a:xfrm>
                      <a:off x="0" y="0"/>
                      <a:ext cx="5266690" cy="3472180"/>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7325" cy="3382645"/>
            <wp:effectExtent l="0" t="0" r="5715" b="63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1"/>
                    <a:stretch>
                      <a:fillRect/>
                    </a:stretch>
                  </pic:blipFill>
                  <pic:spPr>
                    <a:xfrm>
                      <a:off x="0" y="0"/>
                      <a:ext cx="5267325" cy="3382645"/>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p>
    <w:p>
      <w:pPr>
        <w:ind w:firstLine="600"/>
        <w:jc w:val="left"/>
        <w:rPr>
          <w:rFonts w:ascii="仿宋_GB2312" w:hAnsi="仿宋_GB2312" w:eastAsia="仿宋_GB2312" w:cs="仿宋_GB2312"/>
          <w:sz w:val="30"/>
          <w:szCs w:val="30"/>
        </w:rPr>
      </w:pPr>
    </w:p>
    <w:p>
      <w:pPr>
        <w:widowControl/>
        <w:numPr>
          <w:ilvl w:val="0"/>
          <w:numId w:val="3"/>
        </w:numPr>
        <w:adjustRightInd w:val="0"/>
        <w:snapToGrid w:val="0"/>
        <w:ind w:firstLine="602"/>
        <w:jc w:val="left"/>
        <w:rPr>
          <w:rFonts w:ascii="仿宋_GB2312" w:hAnsi="仿宋_GB2312" w:eastAsia="仿宋_GB2312" w:cs="仿宋_GB2312"/>
          <w:sz w:val="30"/>
          <w:szCs w:val="30"/>
        </w:rPr>
      </w:pPr>
      <w:r>
        <w:rPr>
          <w:rFonts w:hint="eastAsia" w:ascii="仿宋_GB2312" w:hAnsi="仿宋_GB2312" w:eastAsia="仿宋_GB2312" w:cs="仿宋_GB2312"/>
          <w:b/>
          <w:kern w:val="0"/>
          <w:sz w:val="30"/>
          <w:szCs w:val="30"/>
        </w:rPr>
        <w:t>提交</w:t>
      </w:r>
      <w:r>
        <w:rPr>
          <w:rFonts w:hint="eastAsia" w:ascii="仿宋_GB2312" w:hAnsi="仿宋_GB2312" w:eastAsia="仿宋_GB2312" w:cs="仿宋_GB2312"/>
          <w:sz w:val="30"/>
          <w:szCs w:val="30"/>
        </w:rPr>
        <w:t>：若代开的是增值税电子普通发票，选择发票查询的类型是“增值税电子普通发票”，若代开的是增值税普通发票，选择发票类型“增值税普通发票”，查询数据后勾选对应的发票然后点击“提交”按钮会提示：确定提交，按“确定”进行提交；</w:t>
      </w:r>
    </w:p>
    <w:p>
      <w:pPr>
        <w:widowControl/>
        <w:adjustRightInd w:val="0"/>
        <w:snapToGrid w:val="0"/>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drawing>
          <wp:inline distT="0" distB="0" distL="114300" distR="114300">
            <wp:extent cx="5267325" cy="3306445"/>
            <wp:effectExtent l="0" t="0" r="5715" b="63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2"/>
                    <a:stretch>
                      <a:fillRect/>
                    </a:stretch>
                  </pic:blipFill>
                  <pic:spPr>
                    <a:xfrm>
                      <a:off x="0" y="0"/>
                      <a:ext cx="5267325" cy="3306445"/>
                    </a:xfrm>
                    <a:prstGeom prst="rect">
                      <a:avLst/>
                    </a:prstGeom>
                    <a:noFill/>
                    <a:ln>
                      <a:noFill/>
                    </a:ln>
                  </pic:spPr>
                </pic:pic>
              </a:graphicData>
            </a:graphic>
          </wp:inline>
        </w:drawing>
      </w:r>
    </w:p>
    <w:p>
      <w:pPr>
        <w:widowControl/>
        <w:adjustRightInd w:val="0"/>
        <w:snapToGrid w:val="0"/>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7325" cy="2595245"/>
            <wp:effectExtent l="0" t="0" r="5715" b="1079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3"/>
                    <a:stretch>
                      <a:fillRect/>
                    </a:stretch>
                  </pic:blipFill>
                  <pic:spPr>
                    <a:xfrm>
                      <a:off x="0" y="0"/>
                      <a:ext cx="5267325" cy="2595245"/>
                    </a:xfrm>
                    <a:prstGeom prst="rect">
                      <a:avLst/>
                    </a:prstGeom>
                    <a:noFill/>
                    <a:ln>
                      <a:noFill/>
                    </a:ln>
                  </pic:spPr>
                </pic:pic>
              </a:graphicData>
            </a:graphic>
          </wp:inline>
        </w:drawing>
      </w:r>
    </w:p>
    <w:p>
      <w:pPr>
        <w:pStyle w:val="18"/>
        <w:widowControl/>
        <w:numPr>
          <w:ilvl w:val="0"/>
          <w:numId w:val="3"/>
        </w:numPr>
        <w:adjustRightInd w:val="0"/>
        <w:snapToGrid w:val="0"/>
        <w:ind w:firstLineChars="0"/>
        <w:jc w:val="left"/>
        <w:rPr>
          <w:rFonts w:ascii="仿宋_GB2312" w:hAnsi="仿宋_GB2312" w:eastAsia="仿宋_GB2312" w:cs="仿宋_GB2312"/>
          <w:sz w:val="30"/>
          <w:szCs w:val="30"/>
        </w:rPr>
      </w:pPr>
      <w:r>
        <w:rPr>
          <w:rFonts w:hint="eastAsia" w:ascii="仿宋_GB2312" w:hAnsi="仿宋_GB2312" w:eastAsia="仿宋_GB2312" w:cs="仿宋_GB2312"/>
          <w:b/>
          <w:sz w:val="30"/>
          <w:szCs w:val="30"/>
        </w:rPr>
        <w:t>撤销提交：</w:t>
      </w:r>
      <w:r>
        <w:rPr>
          <w:rFonts w:hint="eastAsia" w:ascii="仿宋_GB2312" w:hAnsi="仿宋_GB2312" w:eastAsia="仿宋_GB2312" w:cs="仿宋_GB2312"/>
          <w:sz w:val="30"/>
          <w:szCs w:val="30"/>
        </w:rPr>
        <w:t xml:space="preserve">若代开的是增值税电子普通发票，选择发票查询的类型是“增值税电子普通发票”，若代开的是增值税普通发票，选择发票类型“增值税普通发票”进行查询，查询数据后选择已提交的发票申请单点击“撤销提交”会出现提示：确定撤销提交，点击“按钮”进行撤销提交； </w:t>
      </w:r>
    </w:p>
    <w:p>
      <w:pPr>
        <w:widowControl/>
        <w:adjustRightInd w:val="0"/>
        <w:snapToGrid w:val="0"/>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1135" cy="3409315"/>
            <wp:effectExtent l="0" t="0" r="1905" b="444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4"/>
                    <a:stretch>
                      <a:fillRect/>
                    </a:stretch>
                  </pic:blipFill>
                  <pic:spPr>
                    <a:xfrm>
                      <a:off x="0" y="0"/>
                      <a:ext cx="5271135" cy="3409315"/>
                    </a:xfrm>
                    <a:prstGeom prst="rect">
                      <a:avLst/>
                    </a:prstGeom>
                    <a:noFill/>
                    <a:ln>
                      <a:noFill/>
                    </a:ln>
                  </pic:spPr>
                </pic:pic>
              </a:graphicData>
            </a:graphic>
          </wp:inline>
        </w:drawing>
      </w:r>
    </w:p>
    <w:p>
      <w:pPr>
        <w:widowControl/>
        <w:adjustRightInd w:val="0"/>
        <w:snapToGrid w:val="0"/>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7960" cy="3371850"/>
            <wp:effectExtent l="0" t="0" r="5080" b="1143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5"/>
                    <a:stretch>
                      <a:fillRect/>
                    </a:stretch>
                  </pic:blipFill>
                  <pic:spPr>
                    <a:xfrm>
                      <a:off x="0" y="0"/>
                      <a:ext cx="5267960" cy="3371850"/>
                    </a:xfrm>
                    <a:prstGeom prst="rect">
                      <a:avLst/>
                    </a:prstGeom>
                    <a:noFill/>
                    <a:ln>
                      <a:noFill/>
                    </a:ln>
                  </pic:spPr>
                </pic:pic>
              </a:graphicData>
            </a:graphic>
          </wp:inline>
        </w:drawing>
      </w:r>
    </w:p>
    <w:p>
      <w:pPr>
        <w:widowControl/>
        <w:adjustRightInd w:val="0"/>
        <w:snapToGrid w:val="0"/>
        <w:ind w:firstLine="0" w:firstLineChars="0"/>
        <w:jc w:val="left"/>
        <w:rPr>
          <w:rFonts w:ascii="仿宋_GB2312" w:hAnsi="仿宋_GB2312" w:eastAsia="仿宋_GB2312" w:cs="仿宋_GB2312"/>
          <w:sz w:val="30"/>
          <w:szCs w:val="30"/>
        </w:rPr>
      </w:pPr>
    </w:p>
    <w:p>
      <w:pPr>
        <w:widowControl/>
        <w:adjustRightInd w:val="0"/>
        <w:snapToGrid w:val="0"/>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b/>
          <w:sz w:val="30"/>
          <w:szCs w:val="30"/>
        </w:rPr>
        <w:t>7、缴款:</w:t>
      </w:r>
      <w:r>
        <w:rPr>
          <w:rFonts w:hint="eastAsia" w:ascii="仿宋_GB2312" w:hAnsi="仿宋_GB2312" w:eastAsia="仿宋_GB2312" w:cs="仿宋_GB2312"/>
          <w:sz w:val="30"/>
          <w:szCs w:val="30"/>
        </w:rPr>
        <w:t>已由税务人员核通过的申请单，选择网上缴款方式的可在电子税务局进行税款缴款。</w:t>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6690" cy="3063240"/>
            <wp:effectExtent l="0" t="0" r="635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6"/>
                    <a:stretch>
                      <a:fillRect/>
                    </a:stretch>
                  </pic:blipFill>
                  <pic:spPr>
                    <a:xfrm>
                      <a:off x="0" y="0"/>
                      <a:ext cx="5266690" cy="3063240"/>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p>
    <w:p>
      <w:pPr>
        <w:ind w:firstLine="600"/>
        <w:jc w:val="left"/>
        <w:rPr>
          <w:rFonts w:ascii="仿宋_GB2312" w:hAnsi="仿宋_GB2312" w:eastAsia="仿宋_GB2312" w:cs="仿宋_GB2312"/>
          <w:sz w:val="30"/>
          <w:szCs w:val="30"/>
        </w:rPr>
      </w:pPr>
    </w:p>
    <w:p>
      <w:pPr>
        <w:widowControl/>
        <w:adjustRightInd w:val="0"/>
        <w:snapToGrid w:val="0"/>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b/>
          <w:sz w:val="30"/>
          <w:szCs w:val="30"/>
        </w:rPr>
        <w:t>8、开具发票：</w:t>
      </w:r>
      <w:r>
        <w:rPr>
          <w:rFonts w:hint="eastAsia" w:ascii="仿宋_GB2312" w:hAnsi="仿宋_GB2312" w:eastAsia="仿宋_GB2312" w:cs="仿宋_GB2312"/>
          <w:sz w:val="30"/>
          <w:szCs w:val="30"/>
        </w:rPr>
        <w:t>申请代开增值税电子普票发票，且已扣除税款的申请单（或免税申请单），可在电子税务局自助进行开票。勾选对应的发票申请的点击“开具发票”按钮，然后根据提示按“确定”按钮完成发票开具。发票开具成功后可以点击“查看发票”按钮查看发票。</w:t>
      </w:r>
    </w:p>
    <w:p>
      <w:pPr>
        <w:widowControl/>
        <w:adjustRightInd w:val="0"/>
        <w:snapToGrid w:val="0"/>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4150" cy="2543810"/>
            <wp:effectExtent l="0" t="0" r="12700" b="889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37"/>
                    <a:stretch>
                      <a:fillRect/>
                    </a:stretch>
                  </pic:blipFill>
                  <pic:spPr>
                    <a:xfrm>
                      <a:off x="0" y="0"/>
                      <a:ext cx="5264150" cy="2543810"/>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0500" cy="2700655"/>
            <wp:effectExtent l="0" t="0" r="6350" b="444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38"/>
                    <a:stretch>
                      <a:fillRect/>
                    </a:stretch>
                  </pic:blipFill>
                  <pic:spPr>
                    <a:xfrm>
                      <a:off x="0" y="0"/>
                      <a:ext cx="5270500" cy="2700655"/>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7325" cy="2795270"/>
            <wp:effectExtent l="0" t="0" r="9525" b="508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39"/>
                    <a:stretch>
                      <a:fillRect/>
                    </a:stretch>
                  </pic:blipFill>
                  <pic:spPr>
                    <a:xfrm>
                      <a:off x="0" y="0"/>
                      <a:ext cx="5267325" cy="2795270"/>
                    </a:xfrm>
                    <a:prstGeom prst="rect">
                      <a:avLst/>
                    </a:prstGeom>
                    <a:noFill/>
                    <a:ln>
                      <a:noFill/>
                    </a:ln>
                  </pic:spPr>
                </pic:pic>
              </a:graphicData>
            </a:graphic>
          </wp:inline>
        </w:drawing>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4415790" cy="2219325"/>
            <wp:effectExtent l="0" t="0" r="3810" b="952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40"/>
                    <a:stretch>
                      <a:fillRect/>
                    </a:stretch>
                  </pic:blipFill>
                  <pic:spPr>
                    <a:xfrm>
                      <a:off x="0" y="0"/>
                      <a:ext cx="4415790" cy="2219325"/>
                    </a:xfrm>
                    <a:prstGeom prst="rect">
                      <a:avLst/>
                    </a:prstGeom>
                    <a:noFill/>
                    <a:ln>
                      <a:noFill/>
                    </a:ln>
                  </pic:spPr>
                </pic:pic>
              </a:graphicData>
            </a:graphic>
          </wp:inline>
        </w:drawing>
      </w:r>
      <w:r>
        <w:rPr>
          <w:rFonts w:hint="eastAsia" w:ascii="仿宋_GB2312" w:hAnsi="仿宋_GB2312" w:eastAsia="仿宋_GB2312" w:cs="仿宋_GB2312"/>
          <w:sz w:val="30"/>
          <w:szCs w:val="30"/>
        </w:rPr>
        <w:t xml:space="preserve">  </w:t>
      </w:r>
    </w:p>
    <w:p>
      <w:pPr>
        <w:widowControl/>
        <w:adjustRightInd w:val="0"/>
        <w:snapToGrid w:val="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如申请开具的是增值税普通发票（纸质），税务人员开票、打印后，纳税人可根据选择的领取方式进行领取。</w:t>
      </w:r>
    </w:p>
    <w:p>
      <w:pPr>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b/>
          <w:sz w:val="30"/>
          <w:szCs w:val="30"/>
        </w:rPr>
        <w:t>9、税务端修改申请单及退回纳税人：</w:t>
      </w:r>
      <w:r>
        <w:rPr>
          <w:rFonts w:hint="eastAsia" w:ascii="仿宋_GB2312" w:hAnsi="仿宋_GB2312" w:eastAsia="仿宋_GB2312" w:cs="仿宋_GB2312"/>
          <w:sz w:val="30"/>
          <w:szCs w:val="30"/>
        </w:rPr>
        <w:t>当税务人员根据实际情况，对纳税人申请单的内容有不符需要修改时可修改申请单信息并退回纳税人。税务人员如退回申请单，纳税人可通过电子税务局查看修改情况，并选择是否确认办理。放弃不办理的，流程结束，申请单状态置为“审核不通过”；确认办理的，申请单状态置为“审核通过”并自动提交、保存。</w:t>
      </w:r>
    </w:p>
    <w:p>
      <w:pPr>
        <w:ind w:firstLine="600"/>
        <w:jc w:val="left"/>
        <w:rPr>
          <w:rFonts w:ascii="仿宋_GB2312" w:hAnsi="仿宋_GB2312" w:eastAsia="仿宋_GB2312" w:cs="仿宋_GB2312"/>
          <w:sz w:val="30"/>
          <w:szCs w:val="30"/>
        </w:rPr>
      </w:pPr>
    </w:p>
    <w:p>
      <w:pPr>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7325" cy="2563495"/>
            <wp:effectExtent l="0" t="0" r="9525" b="825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41"/>
                    <a:stretch>
                      <a:fillRect/>
                    </a:stretch>
                  </pic:blipFill>
                  <pic:spPr>
                    <a:xfrm>
                      <a:off x="0" y="0"/>
                      <a:ext cx="5267325" cy="2563495"/>
                    </a:xfrm>
                    <a:prstGeom prst="rect">
                      <a:avLst/>
                    </a:prstGeom>
                    <a:noFill/>
                    <a:ln>
                      <a:noFill/>
                    </a:ln>
                  </pic:spPr>
                </pic:pic>
              </a:graphicData>
            </a:graphic>
          </wp:inline>
        </w:drawing>
      </w:r>
    </w:p>
    <w:p>
      <w:pPr>
        <w:ind w:firstLine="600"/>
        <w:jc w:val="left"/>
        <w:rPr>
          <w:rFonts w:ascii="仿宋_GB2312" w:hAnsi="仿宋_GB2312" w:eastAsia="仿宋_GB2312" w:cs="仿宋_GB2312"/>
          <w:sz w:val="30"/>
          <w:szCs w:val="30"/>
        </w:rPr>
      </w:pPr>
    </w:p>
    <w:p>
      <w:pPr>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3675" cy="2747010"/>
            <wp:effectExtent l="0" t="0" r="3175" b="1524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2"/>
                    <a:stretch>
                      <a:fillRect/>
                    </a:stretch>
                  </pic:blipFill>
                  <pic:spPr>
                    <a:xfrm>
                      <a:off x="0" y="0"/>
                      <a:ext cx="5273675" cy="2747010"/>
                    </a:xfrm>
                    <a:prstGeom prst="rect">
                      <a:avLst/>
                    </a:prstGeom>
                    <a:noFill/>
                    <a:ln>
                      <a:noFill/>
                    </a:ln>
                  </pic:spPr>
                </pic:pic>
              </a:graphicData>
            </a:graphic>
          </wp:inline>
        </w:drawing>
      </w:r>
    </w:p>
    <w:p>
      <w:pPr>
        <w:pStyle w:val="18"/>
        <w:numPr>
          <w:ilvl w:val="0"/>
          <w:numId w:val="4"/>
        </w:numPr>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如放弃申请，申请单的状态是“放弃申请单”，纳税人只能对该申请单进行删除操作。</w:t>
      </w:r>
    </w:p>
    <w:p>
      <w:pPr>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3040" cy="2475230"/>
            <wp:effectExtent l="0" t="0" r="3810" b="127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3"/>
                    <a:stretch>
                      <a:fillRect/>
                    </a:stretch>
                  </pic:blipFill>
                  <pic:spPr>
                    <a:xfrm>
                      <a:off x="0" y="0"/>
                      <a:ext cx="5273040" cy="2475230"/>
                    </a:xfrm>
                    <a:prstGeom prst="rect">
                      <a:avLst/>
                    </a:prstGeom>
                    <a:noFill/>
                    <a:ln>
                      <a:noFill/>
                    </a:ln>
                  </pic:spPr>
                </pic:pic>
              </a:graphicData>
            </a:graphic>
          </wp:inline>
        </w:drawing>
      </w:r>
    </w:p>
    <w:p>
      <w:pPr>
        <w:ind w:firstLine="0" w:firstLineChars="0"/>
        <w:jc w:val="left"/>
        <w:rPr>
          <w:rFonts w:ascii="仿宋_GB2312" w:hAnsi="仿宋_GB2312" w:eastAsia="仿宋_GB2312" w:cs="仿宋_GB2312"/>
          <w:sz w:val="30"/>
          <w:szCs w:val="30"/>
        </w:rPr>
      </w:pPr>
    </w:p>
    <w:p>
      <w:pPr>
        <w:ind w:left="210" w:leftChars="100"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br w:type="textWrapp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00007A87" w:usb1="80000000" w:usb2="00000008" w:usb3="00000000" w:csb0="400001FF" w:csb1="FFFF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A2348E"/>
    <w:multiLevelType w:val="singleLevel"/>
    <w:tmpl w:val="87A2348E"/>
    <w:lvl w:ilvl="0" w:tentative="0">
      <w:start w:val="1"/>
      <w:numFmt w:val="decimal"/>
      <w:suff w:val="nothing"/>
      <w:lvlText w:val="%1、"/>
      <w:lvlJc w:val="left"/>
    </w:lvl>
  </w:abstractNum>
  <w:abstractNum w:abstractNumId="1">
    <w:nsid w:val="0CAA78A6"/>
    <w:multiLevelType w:val="multilevel"/>
    <w:tmpl w:val="0CAA78A6"/>
    <w:lvl w:ilvl="0" w:tentative="0">
      <w:start w:val="1"/>
      <w:numFmt w:val="decimal"/>
      <w:lvlText w:val="%1）"/>
      <w:lvlJc w:val="left"/>
      <w:pPr>
        <w:ind w:left="855" w:hanging="43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0FC54E0"/>
    <w:multiLevelType w:val="multilevel"/>
    <w:tmpl w:val="40FC54E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D88CC32"/>
    <w:multiLevelType w:val="singleLevel"/>
    <w:tmpl w:val="4D88CC32"/>
    <w:lvl w:ilvl="0" w:tentative="0">
      <w:start w:val="5"/>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550B91"/>
    <w:rsid w:val="002753AF"/>
    <w:rsid w:val="00421429"/>
    <w:rsid w:val="00431812"/>
    <w:rsid w:val="00494C0D"/>
    <w:rsid w:val="004C49D9"/>
    <w:rsid w:val="005C0275"/>
    <w:rsid w:val="007E5ED4"/>
    <w:rsid w:val="00921268"/>
    <w:rsid w:val="009C28D5"/>
    <w:rsid w:val="009C480D"/>
    <w:rsid w:val="00B040F9"/>
    <w:rsid w:val="00B77C08"/>
    <w:rsid w:val="00CA2B8D"/>
    <w:rsid w:val="00DF4590"/>
    <w:rsid w:val="00E566E5"/>
    <w:rsid w:val="00EB5720"/>
    <w:rsid w:val="00EE7AFE"/>
    <w:rsid w:val="01753B0F"/>
    <w:rsid w:val="019014BA"/>
    <w:rsid w:val="04F775B7"/>
    <w:rsid w:val="05277FDD"/>
    <w:rsid w:val="06EC4052"/>
    <w:rsid w:val="08435EE1"/>
    <w:rsid w:val="085607BC"/>
    <w:rsid w:val="08D41E79"/>
    <w:rsid w:val="09405A6B"/>
    <w:rsid w:val="0C6D40CD"/>
    <w:rsid w:val="0DE6516F"/>
    <w:rsid w:val="0E1C16A1"/>
    <w:rsid w:val="0FD97953"/>
    <w:rsid w:val="106B5473"/>
    <w:rsid w:val="10A7698D"/>
    <w:rsid w:val="119303F0"/>
    <w:rsid w:val="149E4DC9"/>
    <w:rsid w:val="14CB741F"/>
    <w:rsid w:val="14EA01F9"/>
    <w:rsid w:val="17691ACF"/>
    <w:rsid w:val="17A800F9"/>
    <w:rsid w:val="193D4170"/>
    <w:rsid w:val="19AF5D36"/>
    <w:rsid w:val="1A4A2479"/>
    <w:rsid w:val="1C511768"/>
    <w:rsid w:val="1C5A5B43"/>
    <w:rsid w:val="1D5E0958"/>
    <w:rsid w:val="1DE8302B"/>
    <w:rsid w:val="206E4318"/>
    <w:rsid w:val="214D58E3"/>
    <w:rsid w:val="236B61B2"/>
    <w:rsid w:val="23F30DED"/>
    <w:rsid w:val="24097D6D"/>
    <w:rsid w:val="242B4806"/>
    <w:rsid w:val="24992F2D"/>
    <w:rsid w:val="29916ABD"/>
    <w:rsid w:val="29E576B9"/>
    <w:rsid w:val="2B5604FF"/>
    <w:rsid w:val="2B6D5903"/>
    <w:rsid w:val="2C833903"/>
    <w:rsid w:val="2CFE060E"/>
    <w:rsid w:val="2E25420F"/>
    <w:rsid w:val="2FB154D5"/>
    <w:rsid w:val="305D0CAE"/>
    <w:rsid w:val="307F53C4"/>
    <w:rsid w:val="31361049"/>
    <w:rsid w:val="31EC2DE5"/>
    <w:rsid w:val="32A80B52"/>
    <w:rsid w:val="331C6510"/>
    <w:rsid w:val="33E63168"/>
    <w:rsid w:val="36315069"/>
    <w:rsid w:val="369D52DA"/>
    <w:rsid w:val="36AA7A0F"/>
    <w:rsid w:val="373E722D"/>
    <w:rsid w:val="38C621A6"/>
    <w:rsid w:val="398A45F7"/>
    <w:rsid w:val="39BB33D4"/>
    <w:rsid w:val="3A3F14F2"/>
    <w:rsid w:val="3A9C5CCE"/>
    <w:rsid w:val="3BA87E8B"/>
    <w:rsid w:val="3C0E0808"/>
    <w:rsid w:val="3C2407CF"/>
    <w:rsid w:val="3C730AEA"/>
    <w:rsid w:val="3CEB7190"/>
    <w:rsid w:val="3EC12F70"/>
    <w:rsid w:val="3EFF3CFF"/>
    <w:rsid w:val="409E3C3D"/>
    <w:rsid w:val="41F35EEB"/>
    <w:rsid w:val="43A555C7"/>
    <w:rsid w:val="44FE7C95"/>
    <w:rsid w:val="452F07A8"/>
    <w:rsid w:val="453D07FE"/>
    <w:rsid w:val="45473FF4"/>
    <w:rsid w:val="4601641C"/>
    <w:rsid w:val="46F263E5"/>
    <w:rsid w:val="47AB5383"/>
    <w:rsid w:val="47CE58E2"/>
    <w:rsid w:val="4817483E"/>
    <w:rsid w:val="488453D3"/>
    <w:rsid w:val="48991F47"/>
    <w:rsid w:val="494802BA"/>
    <w:rsid w:val="4C371F99"/>
    <w:rsid w:val="4CAB187F"/>
    <w:rsid w:val="4CD75B6E"/>
    <w:rsid w:val="4D1E4233"/>
    <w:rsid w:val="4D445167"/>
    <w:rsid w:val="4F06135F"/>
    <w:rsid w:val="4FE758F5"/>
    <w:rsid w:val="523E0C9C"/>
    <w:rsid w:val="52D9350F"/>
    <w:rsid w:val="5324579F"/>
    <w:rsid w:val="53B6357F"/>
    <w:rsid w:val="53C60F43"/>
    <w:rsid w:val="53FB7453"/>
    <w:rsid w:val="54436317"/>
    <w:rsid w:val="55EB0FC4"/>
    <w:rsid w:val="5640509D"/>
    <w:rsid w:val="56970A43"/>
    <w:rsid w:val="576551CF"/>
    <w:rsid w:val="58074E17"/>
    <w:rsid w:val="584A4D24"/>
    <w:rsid w:val="5E260A7D"/>
    <w:rsid w:val="6015608F"/>
    <w:rsid w:val="61101392"/>
    <w:rsid w:val="62B55E8E"/>
    <w:rsid w:val="66515DF7"/>
    <w:rsid w:val="68E06600"/>
    <w:rsid w:val="68E151E6"/>
    <w:rsid w:val="693A0518"/>
    <w:rsid w:val="69550B91"/>
    <w:rsid w:val="69A80312"/>
    <w:rsid w:val="6A623E18"/>
    <w:rsid w:val="6B5C6541"/>
    <w:rsid w:val="6D207D1B"/>
    <w:rsid w:val="6ECB4F92"/>
    <w:rsid w:val="6F19560E"/>
    <w:rsid w:val="6F1F5E23"/>
    <w:rsid w:val="708A20D8"/>
    <w:rsid w:val="718673EB"/>
    <w:rsid w:val="726F3664"/>
    <w:rsid w:val="72967C9E"/>
    <w:rsid w:val="73813C1E"/>
    <w:rsid w:val="73B2639D"/>
    <w:rsid w:val="761B3C7F"/>
    <w:rsid w:val="76B94AD0"/>
    <w:rsid w:val="77D80CA3"/>
    <w:rsid w:val="77F0035E"/>
    <w:rsid w:val="78FD0574"/>
    <w:rsid w:val="7B4B72AB"/>
    <w:rsid w:val="7C512D73"/>
    <w:rsid w:val="7C5D272E"/>
    <w:rsid w:val="7DA105DA"/>
    <w:rsid w:val="7E3A557F"/>
    <w:rsid w:val="7F6326A7"/>
    <w:rsid w:val="7FAD27C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3"/>
    <w:qFormat/>
    <w:uiPriority w:val="0"/>
    <w:pPr>
      <w:keepNext/>
      <w:keepLines/>
      <w:spacing w:before="340" w:after="330" w:line="576" w:lineRule="auto"/>
      <w:outlineLvl w:val="0"/>
    </w:pPr>
    <w:rPr>
      <w:b/>
      <w:kern w:val="44"/>
      <w:sz w:val="44"/>
    </w:rPr>
  </w:style>
  <w:style w:type="paragraph" w:styleId="3">
    <w:name w:val="heading 2"/>
    <w:basedOn w:val="1"/>
    <w:next w:val="1"/>
    <w:link w:val="12"/>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4"/>
    <w:unhideWhenUsed/>
    <w:qFormat/>
    <w:uiPriority w:val="9"/>
    <w:pPr>
      <w:keepNext/>
      <w:keepLines/>
      <w:spacing w:before="260" w:after="260" w:line="413" w:lineRule="auto"/>
      <w:outlineLvl w:val="2"/>
    </w:pPr>
    <w:rPr>
      <w:b/>
      <w:sz w:val="32"/>
    </w:rPr>
  </w:style>
  <w:style w:type="paragraph" w:styleId="5">
    <w:name w:val="heading 4"/>
    <w:basedOn w:val="1"/>
    <w:next w:val="1"/>
    <w:link w:val="15"/>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link w:val="16"/>
    <w:unhideWhenUsed/>
    <w:qFormat/>
    <w:uiPriority w:val="0"/>
    <w:pPr>
      <w:keepNext/>
      <w:keepLines/>
      <w:spacing w:before="280" w:after="290" w:line="372" w:lineRule="auto"/>
      <w:outlineLvl w:val="4"/>
    </w:pPr>
    <w:rPr>
      <w:b/>
      <w:sz w:val="28"/>
    </w:rPr>
  </w:style>
  <w:style w:type="character" w:default="1" w:styleId="9">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7">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styleId="10">
    <w:name w:val="Hyperlink"/>
    <w:basedOn w:val="9"/>
    <w:qFormat/>
    <w:uiPriority w:val="0"/>
    <w:rPr>
      <w:color w:val="0000FF"/>
      <w:u w:val="single"/>
    </w:rPr>
  </w:style>
  <w:style w:type="character" w:customStyle="1" w:styleId="12">
    <w:name w:val="标题 2 Char"/>
    <w:link w:val="3"/>
    <w:qFormat/>
    <w:uiPriority w:val="0"/>
    <w:rPr>
      <w:rFonts w:ascii="Arial" w:hAnsi="Arial" w:eastAsia="黑体"/>
      <w:b/>
      <w:sz w:val="32"/>
    </w:rPr>
  </w:style>
  <w:style w:type="character" w:customStyle="1" w:styleId="13">
    <w:name w:val="标题 1 Char"/>
    <w:link w:val="2"/>
    <w:qFormat/>
    <w:uiPriority w:val="0"/>
    <w:rPr>
      <w:b/>
      <w:kern w:val="44"/>
      <w:sz w:val="44"/>
    </w:rPr>
  </w:style>
  <w:style w:type="character" w:customStyle="1" w:styleId="14">
    <w:name w:val="标题 3 Char"/>
    <w:link w:val="4"/>
    <w:qFormat/>
    <w:uiPriority w:val="9"/>
    <w:rPr>
      <w:b/>
      <w:sz w:val="32"/>
    </w:rPr>
  </w:style>
  <w:style w:type="character" w:customStyle="1" w:styleId="15">
    <w:name w:val="标题 4 Char"/>
    <w:link w:val="5"/>
    <w:qFormat/>
    <w:uiPriority w:val="0"/>
    <w:rPr>
      <w:rFonts w:ascii="Arial" w:hAnsi="Arial" w:eastAsia="黑体"/>
      <w:b/>
      <w:sz w:val="28"/>
    </w:rPr>
  </w:style>
  <w:style w:type="character" w:customStyle="1" w:styleId="16">
    <w:name w:val="标题 5 Char"/>
    <w:link w:val="6"/>
    <w:qFormat/>
    <w:uiPriority w:val="0"/>
    <w:rPr>
      <w:b/>
      <w:sz w:val="28"/>
    </w:rPr>
  </w:style>
  <w:style w:type="paragraph" w:customStyle="1" w:styleId="17">
    <w:name w:val="列出段落1"/>
    <w:basedOn w:val="1"/>
    <w:qFormat/>
    <w:uiPriority w:val="99"/>
    <w:pPr>
      <w:ind w:firstLine="420"/>
    </w:pPr>
  </w:style>
  <w:style w:type="paragraph" w:customStyle="1" w:styleId="18">
    <w:name w:val="列出段落2"/>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Pages>
  <Words>282</Words>
  <Characters>1613</Characters>
  <Lines>13</Lines>
  <Paragraphs>3</Paragraphs>
  <ScaleCrop>false</ScaleCrop>
  <LinksUpToDate>false</LinksUpToDate>
  <CharactersWithSpaces>1892</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2020-04-01T09:14:00Z</dcterms:created>
  <dc:creator>智代</dc:creator>
  <cp:lastModifiedBy>黄胜闲</cp:lastModifiedBy>
  <dcterms:modified xsi:type="dcterms:W3CDTF">2020-07-01T10:30:23Z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