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0E" w:rsidRPr="009F0D1D" w:rsidRDefault="009F0D1D" w:rsidP="009F0D1D">
      <w:pPr>
        <w:jc w:val="center"/>
        <w:rPr>
          <w:rFonts w:ascii="方正小标宋简体" w:eastAsia="方正小标宋简体"/>
          <w:sz w:val="44"/>
          <w:szCs w:val="44"/>
        </w:rPr>
      </w:pPr>
      <w:r w:rsidRPr="009F0D1D">
        <w:rPr>
          <w:rFonts w:ascii="方正小标宋简体" w:eastAsia="方正小标宋简体" w:hint="eastAsia"/>
          <w:sz w:val="44"/>
          <w:szCs w:val="44"/>
        </w:rPr>
        <w:t>国家税务总局广州市南沙区税务局关于</w:t>
      </w:r>
      <w:r>
        <w:rPr>
          <w:rFonts w:ascii="方正小标宋简体" w:eastAsia="方正小标宋简体" w:hint="eastAsia"/>
          <w:sz w:val="44"/>
          <w:szCs w:val="44"/>
        </w:rPr>
        <w:t>经营所得</w:t>
      </w:r>
      <w:r w:rsidR="003A654A">
        <w:rPr>
          <w:rFonts w:ascii="方正小标宋简体" w:eastAsia="方正小标宋简体" w:hint="eastAsia"/>
          <w:sz w:val="44"/>
          <w:szCs w:val="44"/>
        </w:rPr>
        <w:t>个人所得税</w:t>
      </w:r>
      <w:r w:rsidRPr="009F0D1D">
        <w:rPr>
          <w:rFonts w:ascii="方正小标宋简体" w:eastAsia="方正小标宋简体" w:hint="eastAsia"/>
          <w:sz w:val="44"/>
          <w:szCs w:val="44"/>
        </w:rPr>
        <w:t>行业所得率和</w:t>
      </w:r>
      <w:r w:rsidR="00264CD7">
        <w:rPr>
          <w:rFonts w:ascii="方正小标宋简体" w:eastAsia="方正小标宋简体" w:hint="eastAsia"/>
          <w:sz w:val="44"/>
          <w:szCs w:val="44"/>
        </w:rPr>
        <w:t>核定</w:t>
      </w:r>
      <w:r w:rsidRPr="009F0D1D">
        <w:rPr>
          <w:rFonts w:ascii="方正小标宋简体" w:eastAsia="方正小标宋简体" w:hint="eastAsia"/>
          <w:sz w:val="44"/>
          <w:szCs w:val="44"/>
        </w:rPr>
        <w:t>征收率有关问题的公告</w:t>
      </w:r>
      <w:r w:rsidR="006B6324">
        <w:rPr>
          <w:rFonts w:ascii="方正小标宋简体" w:eastAsia="方正小标宋简体" w:hint="eastAsia"/>
          <w:sz w:val="44"/>
          <w:szCs w:val="44"/>
        </w:rPr>
        <w:t>(征求</w:t>
      </w:r>
      <w:r w:rsidR="006B6324">
        <w:rPr>
          <w:rFonts w:ascii="方正小标宋简体" w:eastAsia="方正小标宋简体"/>
          <w:sz w:val="44"/>
          <w:szCs w:val="44"/>
        </w:rPr>
        <w:t>意见稿</w:t>
      </w:r>
      <w:r w:rsidR="006B6324">
        <w:rPr>
          <w:rFonts w:ascii="方正小标宋简体" w:eastAsia="方正小标宋简体" w:hint="eastAsia"/>
          <w:sz w:val="44"/>
          <w:szCs w:val="44"/>
        </w:rPr>
        <w:t>)</w:t>
      </w:r>
    </w:p>
    <w:p w:rsidR="009F0D1D" w:rsidRPr="009F0D1D" w:rsidRDefault="009F0D1D">
      <w:pPr>
        <w:rPr>
          <w:rFonts w:ascii="仿宋_GB2312" w:eastAsia="仿宋_GB2312" w:cs="Tahoma"/>
          <w:sz w:val="32"/>
          <w:szCs w:val="32"/>
        </w:rPr>
      </w:pPr>
    </w:p>
    <w:p w:rsidR="00E9257E" w:rsidRDefault="009F0D1D" w:rsidP="009F0D1D">
      <w:pPr>
        <w:ind w:firstLineChars="200" w:firstLine="640"/>
        <w:rPr>
          <w:rFonts w:ascii="仿宋_GB2312" w:eastAsia="仿宋_GB2312" w:cs="Tahom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 w:rsidRPr="00B7261D">
        <w:rPr>
          <w:rFonts w:ascii="仿宋_GB2312" w:eastAsia="仿宋_GB2312" w:hint="eastAsia"/>
          <w:sz w:val="32"/>
          <w:szCs w:val="32"/>
        </w:rPr>
        <w:t>中华人民共和国个人所得税法》</w:t>
      </w:r>
      <w:r w:rsidR="00AC2EB5">
        <w:rPr>
          <w:rFonts w:ascii="仿宋_GB2312" w:eastAsia="仿宋_GB2312" w:hint="eastAsia"/>
          <w:sz w:val="32"/>
          <w:szCs w:val="32"/>
        </w:rPr>
        <w:t>及实施条例</w:t>
      </w:r>
      <w:r>
        <w:rPr>
          <w:rFonts w:ascii="仿宋_GB2312" w:eastAsia="仿宋_GB2312" w:hint="eastAsia"/>
          <w:sz w:val="32"/>
          <w:szCs w:val="32"/>
        </w:rPr>
        <w:t>、</w:t>
      </w:r>
      <w:r w:rsidRPr="00B7261D">
        <w:rPr>
          <w:rFonts w:ascii="仿宋_GB2312" w:eastAsia="仿宋_GB2312" w:hint="eastAsia"/>
          <w:sz w:val="32"/>
          <w:szCs w:val="32"/>
        </w:rPr>
        <w:t>《中华人民共和国税收征收管理法》及其实施细则</w:t>
      </w:r>
      <w:r>
        <w:rPr>
          <w:rFonts w:ascii="仿宋_GB2312" w:eastAsia="仿宋_GB2312" w:hint="eastAsia"/>
          <w:sz w:val="32"/>
          <w:szCs w:val="32"/>
        </w:rPr>
        <w:t>、</w:t>
      </w:r>
      <w:r w:rsidRPr="009F0D1D">
        <w:rPr>
          <w:rFonts w:ascii="仿宋_GB2312" w:eastAsia="仿宋_GB2312" w:cs="Tahoma" w:hint="eastAsia"/>
          <w:sz w:val="32"/>
          <w:szCs w:val="32"/>
        </w:rPr>
        <w:t>《国家税务总局广东省税务局关于发布&lt;国家税务总局广东省税务局个体工商户定期定额征收管理实施办法&gt;的公告》（国家税务总局广东省税务局公告2018年第22号)</w:t>
      </w:r>
      <w:r>
        <w:rPr>
          <w:rFonts w:ascii="仿宋_GB2312" w:eastAsia="仿宋_GB2312" w:cs="Tahoma" w:hint="eastAsia"/>
          <w:sz w:val="32"/>
          <w:szCs w:val="32"/>
        </w:rPr>
        <w:t>规定</w:t>
      </w:r>
      <w:r w:rsidRPr="009F0D1D">
        <w:rPr>
          <w:rFonts w:ascii="仿宋_GB2312" w:eastAsia="仿宋_GB2312" w:cs="Tahoma" w:hint="eastAsia"/>
          <w:sz w:val="32"/>
          <w:szCs w:val="32"/>
        </w:rPr>
        <w:t>，现将</w:t>
      </w:r>
      <w:r>
        <w:rPr>
          <w:rFonts w:ascii="仿宋_GB2312" w:eastAsia="仿宋_GB2312" w:cs="Tahoma" w:hint="eastAsia"/>
          <w:sz w:val="32"/>
          <w:szCs w:val="32"/>
        </w:rPr>
        <w:t>南沙区经营所得</w:t>
      </w:r>
      <w:r w:rsidRPr="009F0D1D">
        <w:rPr>
          <w:rFonts w:ascii="仿宋_GB2312" w:eastAsia="仿宋_GB2312" w:cs="Tahoma" w:hint="eastAsia"/>
          <w:sz w:val="32"/>
          <w:szCs w:val="32"/>
        </w:rPr>
        <w:t>核定征收</w:t>
      </w:r>
      <w:r>
        <w:rPr>
          <w:rFonts w:ascii="仿宋_GB2312" w:eastAsia="仿宋_GB2312" w:cs="Tahoma" w:hint="eastAsia"/>
          <w:sz w:val="32"/>
          <w:szCs w:val="32"/>
        </w:rPr>
        <w:t>个人所得税</w:t>
      </w:r>
      <w:r w:rsidRPr="009F0D1D">
        <w:rPr>
          <w:rFonts w:ascii="仿宋_GB2312" w:eastAsia="仿宋_GB2312" w:cs="Tahoma" w:hint="eastAsia"/>
          <w:sz w:val="32"/>
          <w:szCs w:val="32"/>
        </w:rPr>
        <w:t>的行业所得率及核定征收率有关问题公告如下：</w:t>
      </w:r>
      <w:r w:rsidRPr="009F0D1D">
        <w:rPr>
          <w:rFonts w:ascii="仿宋_GB2312" w:eastAsia="仿宋_GB2312" w:cs="Tahoma" w:hint="eastAsia"/>
          <w:sz w:val="32"/>
          <w:szCs w:val="32"/>
        </w:rPr>
        <w:br/>
        <w:t xml:space="preserve">　　一、</w:t>
      </w:r>
      <w:r w:rsidR="00EF4CC8">
        <w:rPr>
          <w:rFonts w:ascii="仿宋_GB2312" w:eastAsia="仿宋_GB2312" w:cs="Tahoma" w:hint="eastAsia"/>
          <w:sz w:val="32"/>
          <w:szCs w:val="32"/>
        </w:rPr>
        <w:t>自2020年1月1日</w:t>
      </w:r>
      <w:r w:rsidR="00EF4CC8">
        <w:rPr>
          <w:rFonts w:ascii="仿宋_GB2312" w:eastAsia="仿宋_GB2312" w:cs="Tahoma"/>
          <w:sz w:val="32"/>
          <w:szCs w:val="32"/>
        </w:rPr>
        <w:t>起，</w:t>
      </w:r>
      <w:r w:rsidRPr="009F0D1D">
        <w:rPr>
          <w:rFonts w:ascii="仿宋_GB2312" w:eastAsia="仿宋_GB2312" w:cs="Tahoma" w:hint="eastAsia"/>
          <w:sz w:val="32"/>
          <w:szCs w:val="32"/>
        </w:rPr>
        <w:t>符合核定征收的个体工商户、个人独资（合伙）企业取得的经营所得适用《</w:t>
      </w:r>
      <w:r>
        <w:rPr>
          <w:rFonts w:ascii="仿宋_GB2312" w:eastAsia="仿宋_GB2312" w:cs="Tahoma"/>
          <w:sz w:val="32"/>
          <w:szCs w:val="32"/>
        </w:rPr>
        <w:t>广州市南沙区</w:t>
      </w:r>
      <w:r w:rsidRPr="009F0D1D">
        <w:rPr>
          <w:rFonts w:ascii="仿宋_GB2312" w:eastAsia="仿宋_GB2312" w:cs="Tahoma" w:hint="eastAsia"/>
          <w:sz w:val="32"/>
          <w:szCs w:val="32"/>
        </w:rPr>
        <w:t>个人所得税行业所得率表》。</w:t>
      </w:r>
      <w:r w:rsidRPr="009F0D1D">
        <w:rPr>
          <w:rFonts w:ascii="仿宋_GB2312" w:eastAsia="仿宋_GB2312" w:cs="Tahoma" w:hint="eastAsia"/>
          <w:sz w:val="32"/>
          <w:szCs w:val="32"/>
        </w:rPr>
        <w:br/>
        <w:t xml:space="preserve">　　二、</w:t>
      </w:r>
      <w:r w:rsidR="00EF4CC8">
        <w:rPr>
          <w:rFonts w:ascii="仿宋_GB2312" w:eastAsia="仿宋_GB2312" w:cs="Tahoma" w:hint="eastAsia"/>
          <w:sz w:val="32"/>
          <w:szCs w:val="32"/>
        </w:rPr>
        <w:t>自2020年</w:t>
      </w:r>
      <w:r w:rsidR="00EF4CC8">
        <w:rPr>
          <w:rFonts w:ascii="仿宋_GB2312" w:eastAsia="仿宋_GB2312" w:cs="Tahoma"/>
          <w:sz w:val="32"/>
          <w:szCs w:val="32"/>
        </w:rPr>
        <w:t>3</w:t>
      </w:r>
      <w:r w:rsidR="00EF4CC8">
        <w:rPr>
          <w:rFonts w:ascii="仿宋_GB2312" w:eastAsia="仿宋_GB2312" w:cs="Tahoma" w:hint="eastAsia"/>
          <w:sz w:val="32"/>
          <w:szCs w:val="32"/>
        </w:rPr>
        <w:t>月1日</w:t>
      </w:r>
      <w:r w:rsidR="00EF4CC8">
        <w:rPr>
          <w:rFonts w:ascii="仿宋_GB2312" w:eastAsia="仿宋_GB2312" w:cs="Tahoma"/>
          <w:sz w:val="32"/>
          <w:szCs w:val="32"/>
        </w:rPr>
        <w:t>起</w:t>
      </w:r>
      <w:r w:rsidR="00EF4CC8">
        <w:rPr>
          <w:rFonts w:ascii="仿宋_GB2312" w:eastAsia="仿宋_GB2312" w:cs="Tahoma" w:hint="eastAsia"/>
          <w:sz w:val="32"/>
          <w:szCs w:val="32"/>
        </w:rPr>
        <w:t>，</w:t>
      </w:r>
      <w:r w:rsidR="00E9257E" w:rsidRPr="009F0D1D">
        <w:rPr>
          <w:rFonts w:ascii="仿宋_GB2312" w:eastAsia="仿宋_GB2312" w:cs="Tahoma" w:hint="eastAsia"/>
          <w:sz w:val="32"/>
          <w:szCs w:val="32"/>
        </w:rPr>
        <w:t>自然人</w:t>
      </w:r>
      <w:r>
        <w:rPr>
          <w:rFonts w:ascii="仿宋_GB2312" w:eastAsia="仿宋_GB2312" w:cs="Tahoma" w:hint="eastAsia"/>
          <w:sz w:val="32"/>
          <w:szCs w:val="32"/>
        </w:rPr>
        <w:t>在</w:t>
      </w:r>
      <w:r>
        <w:rPr>
          <w:rFonts w:ascii="仿宋_GB2312" w:eastAsia="仿宋_GB2312" w:cs="Tahoma"/>
          <w:sz w:val="32"/>
          <w:szCs w:val="32"/>
        </w:rPr>
        <w:t>南沙区</w:t>
      </w:r>
      <w:r w:rsidR="00E9257E">
        <w:rPr>
          <w:rFonts w:ascii="仿宋_GB2312" w:eastAsia="仿宋_GB2312" w:cs="Tahoma" w:hint="eastAsia"/>
          <w:sz w:val="32"/>
          <w:szCs w:val="32"/>
        </w:rPr>
        <w:t>取得经营所得</w:t>
      </w:r>
      <w:r>
        <w:rPr>
          <w:rFonts w:ascii="仿宋_GB2312" w:eastAsia="仿宋_GB2312" w:cs="Tahoma"/>
          <w:sz w:val="32"/>
          <w:szCs w:val="32"/>
        </w:rPr>
        <w:t>，</w:t>
      </w:r>
      <w:r w:rsidRPr="009F0D1D">
        <w:rPr>
          <w:rFonts w:ascii="仿宋_GB2312" w:eastAsia="仿宋_GB2312" w:cs="Tahoma" w:hint="eastAsia"/>
          <w:sz w:val="32"/>
          <w:szCs w:val="32"/>
        </w:rPr>
        <w:t>符合核定征收个人所得税的</w:t>
      </w:r>
      <w:r w:rsidR="00E9257E">
        <w:rPr>
          <w:rFonts w:ascii="仿宋_GB2312" w:eastAsia="仿宋_GB2312" w:cs="Tahoma" w:hint="eastAsia"/>
          <w:sz w:val="32"/>
          <w:szCs w:val="32"/>
        </w:rPr>
        <w:t>，核定征收率</w:t>
      </w:r>
      <w:r w:rsidR="00E9257E">
        <w:rPr>
          <w:rFonts w:ascii="仿宋_GB2312" w:eastAsia="仿宋_GB2312" w:cs="Tahoma"/>
          <w:sz w:val="32"/>
          <w:szCs w:val="32"/>
        </w:rPr>
        <w:t>为</w:t>
      </w:r>
      <w:r w:rsidR="00E9257E">
        <w:rPr>
          <w:rFonts w:ascii="仿宋_GB2312" w:eastAsia="仿宋_GB2312" w:cs="Tahoma" w:hint="eastAsia"/>
          <w:sz w:val="32"/>
          <w:szCs w:val="32"/>
        </w:rPr>
        <w:t>0.8</w:t>
      </w:r>
      <w:r w:rsidR="00E9257E">
        <w:rPr>
          <w:rFonts w:ascii="仿宋_GB2312" w:eastAsia="仿宋_GB2312" w:cs="Tahoma"/>
          <w:sz w:val="32"/>
          <w:szCs w:val="32"/>
        </w:rPr>
        <w:t>%</w:t>
      </w:r>
      <w:r w:rsidRPr="009F0D1D">
        <w:rPr>
          <w:rFonts w:ascii="仿宋_GB2312" w:eastAsia="仿宋_GB2312" w:cs="Tahoma" w:hint="eastAsia"/>
          <w:sz w:val="32"/>
          <w:szCs w:val="32"/>
        </w:rPr>
        <w:t>。</w:t>
      </w:r>
    </w:p>
    <w:p w:rsidR="009F0D1D" w:rsidRDefault="009F0D1D" w:rsidP="009F0D1D">
      <w:pPr>
        <w:ind w:firstLineChars="200" w:firstLine="640"/>
        <w:rPr>
          <w:rFonts w:ascii="仿宋_GB2312" w:eastAsia="仿宋_GB2312" w:cs="Tahoma"/>
          <w:sz w:val="32"/>
          <w:szCs w:val="32"/>
        </w:rPr>
      </w:pPr>
      <w:bookmarkStart w:id="0" w:name="_GoBack"/>
      <w:bookmarkEnd w:id="0"/>
      <w:r w:rsidRPr="009F0D1D">
        <w:rPr>
          <w:rFonts w:ascii="仿宋_GB2312" w:eastAsia="仿宋_GB2312" w:cs="Tahoma" w:hint="eastAsia"/>
          <w:sz w:val="32"/>
          <w:szCs w:val="32"/>
        </w:rPr>
        <w:t>特此公告。</w:t>
      </w:r>
    </w:p>
    <w:p w:rsidR="00E9257E" w:rsidRDefault="00E9257E" w:rsidP="009F0D1D">
      <w:pPr>
        <w:ind w:firstLineChars="200" w:firstLine="640"/>
        <w:rPr>
          <w:rFonts w:ascii="仿宋_GB2312" w:eastAsia="仿宋_GB2312" w:cs="Tahoma"/>
          <w:sz w:val="32"/>
          <w:szCs w:val="32"/>
        </w:rPr>
      </w:pPr>
    </w:p>
    <w:p w:rsidR="00E9257E" w:rsidRDefault="00E9257E" w:rsidP="009F0D1D">
      <w:pPr>
        <w:ind w:firstLineChars="200" w:firstLine="640"/>
        <w:rPr>
          <w:rFonts w:ascii="仿宋_GB2312" w:eastAsia="仿宋_GB2312" w:cs="Tahoma"/>
          <w:sz w:val="32"/>
          <w:szCs w:val="32"/>
        </w:rPr>
      </w:pPr>
      <w:r>
        <w:rPr>
          <w:rFonts w:ascii="仿宋_GB2312" w:eastAsia="仿宋_GB2312" w:cs="Tahoma" w:hint="eastAsia"/>
          <w:sz w:val="32"/>
          <w:szCs w:val="32"/>
        </w:rPr>
        <w:t>附件</w:t>
      </w:r>
      <w:r>
        <w:rPr>
          <w:rFonts w:ascii="仿宋_GB2312" w:eastAsia="仿宋_GB2312" w:cs="Tahoma"/>
          <w:sz w:val="32"/>
          <w:szCs w:val="32"/>
        </w:rPr>
        <w:t>：</w:t>
      </w:r>
      <w:r w:rsidRPr="009F0D1D">
        <w:rPr>
          <w:rFonts w:ascii="仿宋_GB2312" w:eastAsia="仿宋_GB2312" w:cs="Tahoma" w:hint="eastAsia"/>
          <w:sz w:val="32"/>
          <w:szCs w:val="32"/>
        </w:rPr>
        <w:t>《</w:t>
      </w:r>
      <w:r>
        <w:rPr>
          <w:rFonts w:ascii="仿宋_GB2312" w:eastAsia="仿宋_GB2312" w:cs="Tahoma"/>
          <w:sz w:val="32"/>
          <w:szCs w:val="32"/>
        </w:rPr>
        <w:t>广州市南沙区</w:t>
      </w:r>
      <w:r w:rsidRPr="009F0D1D">
        <w:rPr>
          <w:rFonts w:ascii="仿宋_GB2312" w:eastAsia="仿宋_GB2312" w:cs="Tahoma" w:hint="eastAsia"/>
          <w:sz w:val="32"/>
          <w:szCs w:val="32"/>
        </w:rPr>
        <w:t>个人所得税行业所得率表》</w:t>
      </w:r>
    </w:p>
    <w:p w:rsidR="00E9257E" w:rsidRDefault="00E9257E" w:rsidP="009F0D1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F28F4" w:rsidRDefault="001F28F4" w:rsidP="009F0D1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F28F4" w:rsidRDefault="001F28F4" w:rsidP="001F28F4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国家</w:t>
      </w:r>
      <w:r>
        <w:rPr>
          <w:rFonts w:ascii="仿宋_GB2312" w:eastAsia="仿宋_GB2312"/>
          <w:sz w:val="32"/>
          <w:szCs w:val="32"/>
        </w:rPr>
        <w:t>税务总局广州市南沙区</w:t>
      </w:r>
      <w:r>
        <w:rPr>
          <w:rFonts w:ascii="仿宋_GB2312" w:eastAsia="仿宋_GB2312" w:hint="eastAsia"/>
          <w:sz w:val="32"/>
          <w:szCs w:val="32"/>
        </w:rPr>
        <w:t>税务局</w:t>
      </w:r>
    </w:p>
    <w:p w:rsidR="001F28F4" w:rsidRDefault="001F28F4" w:rsidP="001F28F4">
      <w:pPr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 w:rsidR="007F310C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="007F310C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65055" w:rsidRDefault="00565055" w:rsidP="00565055">
      <w:pPr>
        <w:ind w:firstLineChars="200" w:firstLine="640"/>
        <w:jc w:val="left"/>
        <w:rPr>
          <w:rFonts w:ascii="仿宋_GB2312" w:eastAsia="仿宋_GB2312" w:cs="Tahoma"/>
          <w:sz w:val="32"/>
          <w:szCs w:val="32"/>
        </w:rPr>
      </w:pPr>
    </w:p>
    <w:p w:rsidR="00565055" w:rsidRDefault="00565055" w:rsidP="00565055">
      <w:pPr>
        <w:ind w:firstLineChars="200" w:firstLine="640"/>
        <w:jc w:val="left"/>
        <w:rPr>
          <w:rFonts w:ascii="仿宋_GB2312" w:eastAsia="仿宋_GB2312" w:cs="Tahoma"/>
          <w:sz w:val="32"/>
          <w:szCs w:val="32"/>
        </w:rPr>
      </w:pPr>
    </w:p>
    <w:p w:rsidR="00565055" w:rsidRDefault="00565055" w:rsidP="00565055">
      <w:pPr>
        <w:jc w:val="left"/>
        <w:rPr>
          <w:rFonts w:ascii="仿宋_GB2312" w:eastAsia="仿宋_GB2312" w:cs="Tahoma"/>
          <w:sz w:val="32"/>
          <w:szCs w:val="32"/>
        </w:rPr>
      </w:pPr>
      <w:r>
        <w:rPr>
          <w:rFonts w:ascii="仿宋_GB2312" w:eastAsia="仿宋_GB2312" w:cs="Tahoma" w:hint="eastAsia"/>
          <w:sz w:val="32"/>
          <w:szCs w:val="32"/>
        </w:rPr>
        <w:t>附件：</w:t>
      </w:r>
    </w:p>
    <w:p w:rsidR="00565055" w:rsidRDefault="00565055" w:rsidP="00565055">
      <w:pPr>
        <w:ind w:firstLineChars="200" w:firstLine="640"/>
        <w:jc w:val="center"/>
        <w:rPr>
          <w:rFonts w:ascii="仿宋_GB2312" w:eastAsia="仿宋_GB2312" w:cs="Tahoma"/>
          <w:sz w:val="32"/>
          <w:szCs w:val="32"/>
        </w:rPr>
      </w:pPr>
      <w:r w:rsidRPr="009F0D1D">
        <w:rPr>
          <w:rFonts w:ascii="仿宋_GB2312" w:eastAsia="仿宋_GB2312" w:cs="Tahoma" w:hint="eastAsia"/>
          <w:sz w:val="32"/>
          <w:szCs w:val="32"/>
        </w:rPr>
        <w:t>《</w:t>
      </w:r>
      <w:r>
        <w:rPr>
          <w:rFonts w:ascii="仿宋_GB2312" w:eastAsia="仿宋_GB2312" w:cs="Tahoma"/>
          <w:sz w:val="32"/>
          <w:szCs w:val="32"/>
        </w:rPr>
        <w:t>广州市南沙区</w:t>
      </w:r>
      <w:r w:rsidRPr="009F0D1D">
        <w:rPr>
          <w:rFonts w:ascii="仿宋_GB2312" w:eastAsia="仿宋_GB2312" w:cs="Tahoma" w:hint="eastAsia"/>
          <w:sz w:val="32"/>
          <w:szCs w:val="32"/>
        </w:rPr>
        <w:t>个人所得税行业所得率表》</w:t>
      </w:r>
    </w:p>
    <w:tbl>
      <w:tblPr>
        <w:tblpPr w:leftFromText="180" w:rightFromText="180" w:vertAnchor="text" w:horzAnchor="margin" w:tblpY="374"/>
        <w:tblW w:w="9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8"/>
        <w:gridCol w:w="3302"/>
      </w:tblGrid>
      <w:tr w:rsidR="00565055" w:rsidRPr="00650BC5" w:rsidTr="003D5206">
        <w:trPr>
          <w:trHeight w:val="630"/>
        </w:trPr>
        <w:tc>
          <w:tcPr>
            <w:tcW w:w="5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055" w:rsidRPr="00650BC5" w:rsidRDefault="00565055" w:rsidP="003D52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50BC5">
              <w:rPr>
                <w:rFonts w:ascii="仿宋_GB2312" w:eastAsia="仿宋_GB2312"/>
                <w:sz w:val="32"/>
                <w:szCs w:val="32"/>
              </w:rPr>
              <w:t>行</w:t>
            </w:r>
            <w:r w:rsidRPr="00650BC5">
              <w:rPr>
                <w:rFonts w:ascii="仿宋_GB2312" w:eastAsia="仿宋_GB2312"/>
                <w:sz w:val="32"/>
                <w:szCs w:val="32"/>
              </w:rPr>
              <w:t> </w:t>
            </w:r>
            <w:r w:rsidRPr="00650BC5">
              <w:rPr>
                <w:rFonts w:ascii="仿宋_GB2312" w:eastAsia="仿宋_GB2312"/>
                <w:sz w:val="32"/>
                <w:szCs w:val="32"/>
              </w:rPr>
              <w:t xml:space="preserve"> 业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5055" w:rsidRPr="00650BC5" w:rsidRDefault="00565055" w:rsidP="003D52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所得率</w:t>
            </w:r>
            <w:r w:rsidRPr="00650BC5">
              <w:rPr>
                <w:rFonts w:ascii="仿宋_GB2312" w:eastAsia="仿宋_GB2312"/>
                <w:sz w:val="32"/>
                <w:szCs w:val="32"/>
              </w:rPr>
              <w:t>(%)</w:t>
            </w:r>
          </w:p>
        </w:tc>
      </w:tr>
      <w:tr w:rsidR="00565055" w:rsidRPr="00650BC5" w:rsidTr="003D5206">
        <w:trPr>
          <w:trHeight w:val="913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055" w:rsidRPr="00650BC5" w:rsidRDefault="00565055" w:rsidP="003D52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工业、商业、交通运输业、建筑业、饮食业、其他行业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5055" w:rsidRPr="00650BC5" w:rsidRDefault="00565055" w:rsidP="003D52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</w:tr>
      <w:tr w:rsidR="00565055" w:rsidRPr="00650BC5" w:rsidTr="003D5206">
        <w:trPr>
          <w:trHeight w:val="58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055" w:rsidRPr="00650BC5" w:rsidRDefault="00565055" w:rsidP="003D52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50BC5">
              <w:rPr>
                <w:rFonts w:ascii="仿宋_GB2312" w:eastAsia="仿宋_GB2312"/>
                <w:sz w:val="32"/>
                <w:szCs w:val="32"/>
              </w:rPr>
              <w:t>娱乐业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65055" w:rsidRPr="00650BC5" w:rsidRDefault="00565055" w:rsidP="003D52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50BC5">
              <w:rPr>
                <w:rFonts w:ascii="仿宋_GB2312" w:eastAsia="仿宋_GB2312"/>
                <w:sz w:val="32"/>
                <w:szCs w:val="32"/>
              </w:rPr>
              <w:t>20</w:t>
            </w:r>
          </w:p>
        </w:tc>
      </w:tr>
    </w:tbl>
    <w:p w:rsidR="00565055" w:rsidRDefault="00565055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65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77" w:rsidRDefault="00653077" w:rsidP="009F0D1D">
      <w:r>
        <w:separator/>
      </w:r>
    </w:p>
  </w:endnote>
  <w:endnote w:type="continuationSeparator" w:id="0">
    <w:p w:rsidR="00653077" w:rsidRDefault="00653077" w:rsidP="009F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77" w:rsidRDefault="00653077" w:rsidP="009F0D1D">
      <w:r>
        <w:separator/>
      </w:r>
    </w:p>
  </w:footnote>
  <w:footnote w:type="continuationSeparator" w:id="0">
    <w:p w:rsidR="00653077" w:rsidRDefault="00653077" w:rsidP="009F0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8E"/>
    <w:rsid w:val="000310E3"/>
    <w:rsid w:val="000A0DE6"/>
    <w:rsid w:val="00124D6C"/>
    <w:rsid w:val="0015210D"/>
    <w:rsid w:val="001A0BA7"/>
    <w:rsid w:val="001C5C2F"/>
    <w:rsid w:val="001F28F4"/>
    <w:rsid w:val="00225EE7"/>
    <w:rsid w:val="00241150"/>
    <w:rsid w:val="00251769"/>
    <w:rsid w:val="002617A1"/>
    <w:rsid w:val="00264CD7"/>
    <w:rsid w:val="0027741A"/>
    <w:rsid w:val="00294F36"/>
    <w:rsid w:val="002D3443"/>
    <w:rsid w:val="002F23E9"/>
    <w:rsid w:val="002F2E47"/>
    <w:rsid w:val="00344081"/>
    <w:rsid w:val="00366D8E"/>
    <w:rsid w:val="003A654A"/>
    <w:rsid w:val="003A706B"/>
    <w:rsid w:val="003C490E"/>
    <w:rsid w:val="00400DB6"/>
    <w:rsid w:val="00463F53"/>
    <w:rsid w:val="00481713"/>
    <w:rsid w:val="004B3F3A"/>
    <w:rsid w:val="00506241"/>
    <w:rsid w:val="005128B0"/>
    <w:rsid w:val="00540C02"/>
    <w:rsid w:val="00565055"/>
    <w:rsid w:val="00567C01"/>
    <w:rsid w:val="005B43C9"/>
    <w:rsid w:val="00632E11"/>
    <w:rsid w:val="00653077"/>
    <w:rsid w:val="006B6324"/>
    <w:rsid w:val="007069B9"/>
    <w:rsid w:val="00724DDB"/>
    <w:rsid w:val="00770791"/>
    <w:rsid w:val="007768D6"/>
    <w:rsid w:val="00792B7F"/>
    <w:rsid w:val="007C2CDB"/>
    <w:rsid w:val="007F310C"/>
    <w:rsid w:val="008005D9"/>
    <w:rsid w:val="00816D36"/>
    <w:rsid w:val="0085456A"/>
    <w:rsid w:val="008D6797"/>
    <w:rsid w:val="009A0F29"/>
    <w:rsid w:val="009F0D1D"/>
    <w:rsid w:val="00A55707"/>
    <w:rsid w:val="00AC2EB5"/>
    <w:rsid w:val="00BA4CC6"/>
    <w:rsid w:val="00BE1063"/>
    <w:rsid w:val="00C02DB4"/>
    <w:rsid w:val="00C16840"/>
    <w:rsid w:val="00C21530"/>
    <w:rsid w:val="00CE3D1D"/>
    <w:rsid w:val="00DD5B1C"/>
    <w:rsid w:val="00DF4340"/>
    <w:rsid w:val="00DF6894"/>
    <w:rsid w:val="00E6541D"/>
    <w:rsid w:val="00E724A3"/>
    <w:rsid w:val="00E82B4C"/>
    <w:rsid w:val="00E9257E"/>
    <w:rsid w:val="00EB1982"/>
    <w:rsid w:val="00EC5DF5"/>
    <w:rsid w:val="00EF4CC8"/>
    <w:rsid w:val="00F469F1"/>
    <w:rsid w:val="00F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5041C6-4DAE-4378-B2AF-4C6B6CB6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D1D"/>
    <w:rPr>
      <w:sz w:val="18"/>
      <w:szCs w:val="18"/>
    </w:rPr>
  </w:style>
  <w:style w:type="character" w:styleId="a5">
    <w:name w:val="Strong"/>
    <w:basedOn w:val="a0"/>
    <w:uiPriority w:val="22"/>
    <w:qFormat/>
    <w:rsid w:val="009F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庞梅君</dc:creator>
  <cp:keywords/>
  <dc:description/>
  <cp:lastModifiedBy>庞梅君</cp:lastModifiedBy>
  <cp:revision>24</cp:revision>
  <dcterms:created xsi:type="dcterms:W3CDTF">2020-01-16T09:12:00Z</dcterms:created>
  <dcterms:modified xsi:type="dcterms:W3CDTF">2020-01-20T01:49:00Z</dcterms:modified>
</cp:coreProperties>
</file>