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wordWrap w:val="0"/>
        <w:snapToGrid w:val="0"/>
        <w:spacing w:before="0" w:beforeAutospacing="0" w:after="0" w:afterAutospacing="0" w:line="596" w:lineRule="atLeast"/>
        <w:ind w:left="0" w:right="0"/>
        <w:jc w:val="left"/>
      </w:pPr>
      <w:bookmarkStart w:id="0" w:name="_GoBack"/>
      <w:bookmarkEnd w:id="0"/>
      <w:r>
        <w:rPr>
          <w:rFonts w:hint="eastAsia" w:ascii="黑体" w:hAnsi="宋体" w:eastAsia="黑体" w:cs="黑体"/>
          <w:snapToGrid/>
          <w:spacing w:val="-2"/>
          <w:kern w:val="0"/>
          <w:sz w:val="32"/>
          <w:szCs w:val="32"/>
          <w:lang w:val="en-US" w:eastAsia="zh-CN" w:bidi="ar"/>
        </w:rPr>
        <w:t>附件：</w:t>
      </w:r>
    </w:p>
    <w:p>
      <w:pPr>
        <w:keepNext w:val="0"/>
        <w:keepLines w:val="0"/>
        <w:widowControl/>
        <w:suppressLineNumbers w:val="0"/>
        <w:wordWrap w:val="0"/>
        <w:snapToGrid w:val="0"/>
        <w:spacing w:before="0" w:beforeAutospacing="0" w:after="0" w:afterAutospacing="0" w:line="596" w:lineRule="atLeast"/>
        <w:ind w:left="0" w:right="0" w:firstLine="648"/>
        <w:jc w:val="both"/>
      </w:pPr>
    </w:p>
    <w:p>
      <w:pPr>
        <w:keepNext w:val="0"/>
        <w:keepLines w:val="0"/>
        <w:widowControl/>
        <w:suppressLineNumbers w:val="0"/>
        <w:wordWrap w:val="0"/>
        <w:snapToGrid w:val="0"/>
        <w:spacing w:before="0" w:beforeAutospacing="0" w:after="0" w:afterAutospacing="0" w:line="596" w:lineRule="atLeast"/>
        <w:ind w:left="0" w:right="0"/>
        <w:jc w:val="center"/>
      </w:pPr>
      <w:r>
        <w:rPr>
          <w:rFonts w:hint="eastAsia" w:ascii="方正小标宋_GBK" w:hAnsi="方正小标宋_GBK" w:eastAsia="方正小标宋_GBK" w:cs="方正小标宋_GBK"/>
          <w:snapToGrid/>
          <w:spacing w:val="-2"/>
          <w:kern w:val="0"/>
          <w:sz w:val="44"/>
          <w:szCs w:val="44"/>
          <w:lang w:val="en-US" w:eastAsia="zh-CN" w:bidi="ar"/>
        </w:rPr>
        <w:t>国际奥委会及其相关实体采购</w:t>
      </w:r>
    </w:p>
    <w:p>
      <w:pPr>
        <w:keepNext w:val="0"/>
        <w:keepLines w:val="0"/>
        <w:widowControl/>
        <w:suppressLineNumbers w:val="0"/>
        <w:wordWrap w:val="0"/>
        <w:snapToGrid w:val="0"/>
        <w:spacing w:before="0" w:beforeAutospacing="0" w:after="0" w:afterAutospacing="0" w:line="596" w:lineRule="atLeast"/>
        <w:ind w:left="0" w:right="0"/>
        <w:jc w:val="center"/>
      </w:pPr>
      <w:r>
        <w:rPr>
          <w:rFonts w:hint="default" w:ascii="方正小标宋_GBK" w:hAnsi="方正小标宋_GBK" w:eastAsia="方正小标宋_GBK" w:cs="方正小标宋_GBK"/>
          <w:snapToGrid/>
          <w:spacing w:val="-2"/>
          <w:kern w:val="0"/>
          <w:sz w:val="44"/>
          <w:szCs w:val="44"/>
          <w:lang w:val="en-US" w:eastAsia="zh-CN" w:bidi="ar"/>
        </w:rPr>
        <w:t>货物或服务的指定清单</w:t>
      </w:r>
    </w:p>
    <w:p>
      <w:pPr>
        <w:keepNext w:val="0"/>
        <w:keepLines w:val="0"/>
        <w:widowControl/>
        <w:suppressLineNumbers w:val="0"/>
        <w:wordWrap w:val="0"/>
        <w:snapToGrid w:val="0"/>
        <w:spacing w:before="0" w:beforeAutospacing="0" w:after="0" w:afterAutospacing="0" w:line="596" w:lineRule="atLeast"/>
        <w:ind w:left="0" w:right="0" w:firstLine="648"/>
        <w:jc w:val="both"/>
      </w:pP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1.餐饮服务、住宿服务；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2.广告服务；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3.电力；</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4.通信服务；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5.不动产经营租赁服务；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6.办公室建造、装修、修缮服务；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7.办公室设备及相关修理修配劳务、有形动产经营租赁服务；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8.奥林匹克转播服务公司和持权转播商购买或接受的与转播活动相关的货物和服务，包括五项：</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（1）赛事转播设施建设、装卸所需的货物和服务；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（2）转播设备（包括摄像机、线缆和转播车辆等）；</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（3）用于转播、通讯设备和车辆的租赁服务和相关修理修配劳务；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（4）与转播有关的咨询、运输和安保服务；</w:t>
      </w:r>
    </w:p>
    <w:p>
      <w:pPr>
        <w:keepNext w:val="0"/>
        <w:keepLines w:val="0"/>
        <w:widowControl/>
        <w:suppressLineNumbers w:val="0"/>
        <w:wordWrap w:val="0"/>
        <w:snapToGrid w:val="0"/>
        <w:spacing w:before="0" w:beforeAutospacing="0" w:after="0" w:afterAutospacing="0" w:line="588" w:lineRule="atLeast"/>
        <w:ind w:left="0" w:right="0" w:firstLine="630"/>
        <w:jc w:val="both"/>
      </w:pPr>
      <w:r>
        <w:rPr>
          <w:rFonts w:hint="eastAsia" w:ascii="仿宋_GB2312" w:hAnsi="宋体" w:eastAsia="仿宋_GB2312" w:cs="仿宋_GB2312"/>
          <w:snapToGrid/>
          <w:spacing w:val="-2"/>
          <w:kern w:val="0"/>
          <w:sz w:val="32"/>
          <w:szCs w:val="32"/>
          <w:lang w:val="en-US" w:eastAsia="zh-CN" w:bidi="ar"/>
        </w:rPr>
        <w:t>（5）其他涉及赛事转播的相关货物和服务。</w:t>
      </w:r>
    </w:p>
    <w:p>
      <w:pPr>
        <w:keepNext w:val="0"/>
        <w:keepLines w:val="0"/>
        <w:widowControl/>
        <w:suppressLineNumbers w:val="0"/>
        <w:wordWrap w:val="0"/>
        <w:snapToGrid w:val="0"/>
        <w:spacing w:before="0" w:beforeAutospacing="0" w:after="0" w:afterAutospacing="0" w:line="588" w:lineRule="atLeast"/>
        <w:ind w:right="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22AE6"/>
    <w:rsid w:val="0D9B767A"/>
    <w:rsid w:val="1C724BA3"/>
    <w:rsid w:val="34622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msodel"/>
    <w:basedOn w:val="3"/>
    <w:uiPriority w:val="0"/>
    <w:rPr>
      <w:strike/>
      <w:color w:val="FF0000"/>
    </w:rPr>
  </w:style>
  <w:style w:type="character" w:customStyle="1" w:styleId="5">
    <w:name w:val="msoins"/>
    <w:basedOn w:val="3"/>
    <w:uiPriority w:val="0"/>
    <w:rPr>
      <w:color w:val="0000FF"/>
      <w:u w:val="single"/>
    </w:rPr>
  </w:style>
  <w:style w:type="character" w:customStyle="1" w:styleId="6">
    <w:name w:val="15"/>
    <w:basedOn w:val="3"/>
    <w:qFormat/>
    <w:uiPriority w:val="0"/>
    <w:rPr>
      <w:rFonts w:ascii="Calibri" w:hAnsi="Calibri" w:cs="Calibri"/>
    </w:rPr>
  </w:style>
  <w:style w:type="character" w:customStyle="1" w:styleId="7">
    <w:name w:val="10"/>
    <w:basedOn w:val="3"/>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2019-11-19T08:01:00Z</dcterms:created>
  <dc:creator>PC</dc:creator>
  <cp:lastModifiedBy>jinqi</cp:lastModifiedBy>
  <dcterms:modified xsi:type="dcterms:W3CDTF">2019-11-26T03:29:58Z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