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医疗住院收费票据（电子）式样</w:t>
      </w:r>
    </w:p>
    <w:p>
      <w:pPr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68595" cy="3764915"/>
            <wp:effectExtent l="0" t="0" r="8255" b="6985"/>
            <wp:docPr id="2" name="图片 2" descr="医疗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疗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说明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1.票面要素。包括：财政票据名称、财政票据监制章、票据代码、票据号码、交款人统一社会信用代码、交款人（单位或个人）、校验码、开票日期、二维码、项目名称、金额（元）、金额合计（大写）/（小写）、备注、其他信息、收款单位（章）、复核人、收款人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2.字体字号。</w:t>
      </w:r>
      <w:r>
        <w:rPr>
          <w:rFonts w:hint="eastAsia" w:ascii="仿宋_GB2312" w:hAnsi="仿宋" w:eastAsia="仿宋_GB2312" w:cs="宋体"/>
          <w:sz w:val="24"/>
          <w:szCs w:val="22"/>
        </w:rPr>
        <w:t>标题为汉仪中楷，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20.04像素（px），居中</w:t>
      </w:r>
      <w:r>
        <w:rPr>
          <w:rFonts w:hint="eastAsia" w:ascii="仿宋_GB2312" w:hAnsi="仿宋" w:eastAsia="仿宋_GB2312" w:cs="宋体"/>
          <w:sz w:val="24"/>
          <w:szCs w:val="22"/>
        </w:rPr>
        <w:t>；正文字体为汉仪楷体，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10像素（px）。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3.规格大小。票据尺寸：718×480像素（px），每英寸96像素（px）。换算成打印尺寸为：190mm×127mm。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4.颜色、套章等要求。文字和表格颜色：棕色；在标题正中位置套财政票据监制章（正红色）。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202B"/>
    <w:rsid w:val="622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2019-06-19T04:01:00Z</dcterms:created>
  <dc:creator>lyun</dc:creator>
  <cp:lastModifiedBy>lyun</cp:lastModifiedBy>
  <dcterms:modified xsi:type="dcterms:W3CDTF">2019-06-19T04:02:23Z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