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F7BD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F7BD9"/>
          <w:spacing w:val="0"/>
          <w:sz w:val="36"/>
          <w:szCs w:val="36"/>
          <w:bdr w:val="none" w:color="auto" w:sz="0" w:space="0"/>
          <w:shd w:val="clear" w:fill="FFFFFF"/>
        </w:rPr>
        <w:t>网上申报车购税操作流程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225" w:afterAutospacing="0" w:line="600" w:lineRule="atLeast"/>
        <w:ind w:left="0" w:right="0"/>
        <w:jc w:val="center"/>
        <w:rPr>
          <w:color w:val="99999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0F0F0"/>
        </w:rPr>
        <w:t>时间：2019-05-27 10:26 【字号：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instrText xml:space="preserve"> HYPERLINK "http://hebei.chinatax.gov.cn/hbsw/bsfw/tzgg/201905/javascript:doZoom(20)"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t>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0F0F0"/>
        </w:rPr>
        <w:t>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instrText xml:space="preserve"> HYPERLINK "http://hebei.chinatax.gov.cn/hbsw/bsfw/tzgg/201905/javascript:doZoom(16)"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t>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0F0F0"/>
        </w:rPr>
        <w:t>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instrText xml:space="preserve"> HYPERLINK "http://hebei.chinatax.gov.cn/hbsw/bsfw/tzgg/201905/javascript:doZoom(12)"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t>小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0F0F0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999999"/>
          <w:spacing w:val="0"/>
          <w:sz w:val="24"/>
          <w:szCs w:val="24"/>
          <w:bdr w:val="none" w:color="auto" w:sz="0" w:space="0"/>
          <w:shd w:val="clear" w:fill="F0F0F0"/>
        </w:rPr>
        <w:t>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第一步：登录河北省电子税务局，输入账号和密码进行登录。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2194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第二步：功能入口：功能菜单的“我要申报”——“其他申报”——“车辆购置税多元化缴税”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952750"/>
            <wp:effectExtent l="0" t="0" r="0" b="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第三步：点击车购税申报，进行申报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4384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第四步：在申报界面，选择办理方式、代办类型、税款所属地，录入发票号码和委托人信息，点击办理申报。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1.办理方式：选择代为办理。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2.代办类型：“为个人办理”是4s店（或卖车企业）为自然人办理车购税申报缴税； “为机构办理”是4s店（或卖车企业）为企业（单位）办理车购税申报缴税。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3.税款所属地：选择税款所属机关。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4.发票号码：省内发票。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5.委托人身份证件号码或纳税人识别号：手动录入，系统自动带出委托人姓名。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828925"/>
            <wp:effectExtent l="0" t="0" r="0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第五步：进入“选择待申报车辆信息”界面，“我的车架号”选择要申报的车架号，自动带出机动车销售统一发票信息，需核对发票信息。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209925"/>
            <wp:effectExtent l="0" t="0" r="0" b="952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第六步：点击“下一步”，查看车辆申报信息。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067050"/>
            <wp:effectExtent l="0" t="0" r="0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65747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第七步：完税证明领取方式：选择大厅领取。点击“保存”。（2019年6月1日起开具电子版完税证明，领取方式不需选择）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第八步：税款支付界面，选择支付方式进行税款缴纳。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1.支付方式：银联支付、POS机支付。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2886075"/>
            <wp:effectExtent l="0" t="0" r="0" b="952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2.银联支付界面，按照提示进行支付。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3676650"/>
            <wp:effectExtent l="0" t="0" r="0" b="0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3.POS机支付界面，确认信息无误，点击“扣款”，进行pos机划卡。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800100"/>
            <wp:effectExtent l="0" t="0" r="0" b="0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15000" cy="192405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第九步：2019年6月1日启用车辆购置税完税证明无纸化后，开具电子版完税证明。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ascii="等线" w:hAnsi="等线" w:eastAsia="等线" w:cs="等线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车辆购置税完税证明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(</w:t>
      </w:r>
      <w:r>
        <w:rPr>
          <w:rFonts w:hint="default" w:ascii="等线" w:hAnsi="等线" w:eastAsia="等线" w:cs="等线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电子版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编号：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厂牌型号：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发动机号：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车辆识别代号（车架号）：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纳税类型:征税车辆/免税车辆/减税车辆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center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857500" cy="2857500"/>
            <wp:effectExtent l="0" t="0" r="0" b="0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征收机关名称：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80"/>
        <w:jc w:val="left"/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温馨提示：免税、减税车辆因转让、改变用途等原因不再属于免税、减税范围的，纳税人应当在办理车辆过户或者变更登记前缴纳车辆购置税。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1.无最低计税价格的车辆，不支持网上申报。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2.享受减免的车辆，不支持网上申报。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0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3.车购税完税证明补发、更正、车辆购置税退税等相关业务不支持网上办理。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理德小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B5FCA"/>
    <w:rsid w:val="118B5FCA"/>
    <w:rsid w:val="3B4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2019-05-28T07:22:00Z</dcterms:created>
  <dc:creator>小星</dc:creator>
  <cp:lastModifiedBy>小星</cp:lastModifiedBy>
  <dcterms:modified xsi:type="dcterms:W3CDTF">2019-05-28T09:31:43Z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