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方正黑体简体" w:hAnsi="黑体" w:eastAsia="方正黑体简体"/>
          <w:sz w:val="32"/>
        </w:rPr>
      </w:pPr>
      <w:r>
        <w:rPr>
          <w:rFonts w:hint="eastAsia" w:ascii="方正黑体简体" w:hAnsi="黑体" w:eastAsia="方正黑体简体"/>
          <w:sz w:val="32"/>
        </w:rPr>
        <w:t>附件11</w:t>
      </w:r>
    </w:p>
    <w:p>
      <w:pPr>
        <w:spacing w:line="580" w:lineRule="exact"/>
        <w:rPr>
          <w:rFonts w:hint="eastAsia" w:ascii="黑体" w:hAnsi="黑体" w:eastAsia="黑体"/>
          <w:sz w:val="24"/>
        </w:rPr>
      </w:pPr>
    </w:p>
    <w:p>
      <w:pPr>
        <w:spacing w:line="580" w:lineRule="exact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/>
          <w:sz w:val="44"/>
          <w:szCs w:val="44"/>
        </w:rPr>
        <w:t>乌海市城镇土地使用税税额标准调整方案</w:t>
      </w:r>
      <w:bookmarkEnd w:id="0"/>
    </w:p>
    <w:p>
      <w:pPr>
        <w:spacing w:line="580" w:lineRule="exact"/>
        <w:jc w:val="center"/>
        <w:rPr>
          <w:rFonts w:ascii="华文中宋" w:hAnsi="华文中宋" w:eastAsia="华文中宋"/>
          <w:sz w:val="36"/>
          <w:szCs w:val="36"/>
        </w:rPr>
      </w:pPr>
    </w:p>
    <w:p>
      <w:pPr>
        <w:spacing w:line="580" w:lineRule="exact"/>
        <w:ind w:firstLine="640" w:firstLineChars="200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一、海勃湾区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一等地：12元/平方米；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二等地：9.6元/平方米；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三等地：7.2元/平方米；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五等地：2.4元/平方米。</w:t>
      </w:r>
    </w:p>
    <w:p>
      <w:pPr>
        <w:spacing w:line="580" w:lineRule="exact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</w:rPr>
        <w:t>二、乌达区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一等地：12元/平方米；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二等地：9.6元/平方米；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三等地：7.2元/平方米；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五等地：2.4元/平方米。</w:t>
      </w:r>
    </w:p>
    <w:p>
      <w:pPr>
        <w:spacing w:line="580" w:lineRule="exact"/>
        <w:ind w:firstLine="640" w:firstLineChars="200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三、海南区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一等地：12元/平方米；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二等地：9.6元/平方米；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三等地：7.2元/平方米；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五等地：2.4元/平方米。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95472"/>
    <w:rsid w:val="4519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2019-03-26T09:05:00Z</dcterms:created>
  <dc:creator>bgt</dc:creator>
  <cp:lastModifiedBy>bgt</cp:lastModifiedBy>
  <dcterms:modified xsi:type="dcterms:W3CDTF">2019-03-26T09:05:22Z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