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</w:rPr>
        <w:t>7</w:t>
      </w:r>
    </w:p>
    <w:p>
      <w:pPr>
        <w:spacing w:line="58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锡林郭勒盟城镇土地使用税税额标准调整方案</w:t>
      </w:r>
    </w:p>
    <w:bookmarkEnd w:id="0"/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一、盟行政公署所在地应税土地单位税额标准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锡林浩特市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胜利矿区、锡林浩特华北油田作业区：3.2元/平方米；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乌优特矿区、朝克矿区：3.2元/平方米；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其他建制镇、工矿区：1.6元/平方米。</w:t>
      </w:r>
    </w:p>
    <w:p>
      <w:pPr>
        <w:spacing w:line="580" w:lineRule="exact"/>
        <w:ind w:firstLine="640" w:firstLineChars="200"/>
        <w:rPr>
          <w:rFonts w:ascii="方正黑体简体" w:hAnsi="黑体" w:eastAsia="方正黑体简体"/>
          <w:sz w:val="32"/>
          <w:szCs w:val="32"/>
        </w:rPr>
      </w:pPr>
      <w:r>
        <w:rPr>
          <w:rFonts w:ascii="方正黑体简体" w:hAnsi="黑体" w:eastAsia="方正黑体简体"/>
          <w:sz w:val="32"/>
          <w:szCs w:val="32"/>
        </w:rPr>
        <w:t>二、所属旗县应税土地单位税额标准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（注：含非民政部门在册的区划）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（一）阿巴嘎旗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阿巴嘎吉日嘎拉苏木煤炭作业区：3.2元/平方米；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巴彦图嘎矿产作业区：3.2元/平方米；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其他建制镇、工矿区：1.6元/平方米。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（二）苏尼特左旗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苏尼特左旗煤炭作业区：3.2元/平方米；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其他建制镇、工矿区：1.6元/平方米。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（三）苏尼特右旗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苏尼特右旗石材矿区：3.2元/平方米；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其他建制镇、工矿区：1.6元/平方米。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（四）东乌珠穆沁旗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天贺矿区、钨矿作业区：3.2元/平方米；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内蒙古兴业集团融冠矿业有限公司作业区、乌拉盖河矿业有限公司作业区、东乌珠穆沁旗国营煤矿作业区、天地锡林郭勒煤业有限公司作业区、宏博矿业开发有限公司作业区、中国石油化工股份有限公司中原油田内蒙古中康项目作业区、中国石油华北油田公司二连分公司东乌旗采油作业区、东乌珠穆沁旗阿木古楞矿业有限责任公司作业区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其他建制镇、工矿区：1.6元/平方米。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（五）西乌珠穆沁旗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其他建制镇、工矿区：1.6元/平方米。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（六）镶黄旗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其他建制镇、工矿区：1.6元/平方米。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（七）正蓝旗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其他建制镇、工矿区：1.6元/平方米。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（八）太仆寺旗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其他建制镇、工矿区：1.6元/平方米。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（九）多伦县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小河铁路矿矿区、协鑫煤矿矿区：3.2元/平方米；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其他建制镇、工矿区：1.6元/平方米。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（十）乌拉盖管理区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乌拉盖锡林河煤矿作业区、乌拉盖锡林河煤化工作业区、乌拉盖鲁新能源作业区、东乌珠穆沁旗蒙霍铁路运输有限公司储煤场作业区、国电锡林河能源化工有限公司作业区：3.2元/平方米；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其他建制镇、工矿区：1.6元/平方米。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（十一）正镶白旗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正镶白旗瑞鑫矿业有限公司工矿区：1.6元/平方米；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其他建制镇、工矿区：1.6元/平方米。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40D13"/>
    <w:rsid w:val="56A4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2019-03-26T09:03:00Z</dcterms:created>
  <dc:creator>bgt</dc:creator>
  <cp:lastModifiedBy>bgt</cp:lastModifiedBy>
  <dcterms:modified xsi:type="dcterms:W3CDTF">2019-03-26T09:03:49Z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