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hAnsi="黑体" w:eastAsia="方正黑体简体"/>
          <w:sz w:val="32"/>
          <w:szCs w:val="32"/>
        </w:rPr>
        <w:t>附件</w:t>
      </w:r>
      <w:r>
        <w:rPr>
          <w:rFonts w:hint="eastAsia" w:ascii="方正黑体简体" w:eastAsia="方正黑体简体"/>
          <w:sz w:val="32"/>
          <w:szCs w:val="32"/>
        </w:rPr>
        <w:t>6</w:t>
      </w:r>
    </w:p>
    <w:p>
      <w:pPr>
        <w:spacing w:line="580" w:lineRule="exact"/>
        <w:rPr>
          <w:rFonts w:eastAsia="黑体"/>
          <w:sz w:val="24"/>
        </w:rPr>
      </w:pPr>
    </w:p>
    <w:p>
      <w:pPr>
        <w:spacing w:line="58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</w:rPr>
        <w:t>赤峰市城镇土地使用税税额标准调整方案</w:t>
      </w:r>
    </w:p>
    <w:bookmarkEnd w:id="0"/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hAnsi="黑体" w:eastAsia="方正黑体简体"/>
          <w:sz w:val="32"/>
          <w:szCs w:val="32"/>
        </w:rPr>
        <w:t>一、市辖区应税土地单位税额标准</w:t>
      </w:r>
    </w:p>
    <w:p>
      <w:pPr>
        <w:spacing w:line="580" w:lineRule="exact"/>
        <w:ind w:firstLine="640" w:firstLineChars="200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（一）红山区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一等地：6.4元/平方米；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五等地：2.4元/平方米。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（二）</w:t>
      </w:r>
      <w:r>
        <w:rPr>
          <w:rFonts w:ascii="方正楷体简体" w:eastAsia="方正楷体简体"/>
          <w:sz w:val="32"/>
          <w:szCs w:val="32"/>
        </w:rPr>
        <w:t>松山区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一等地：6.4元/平方米；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五等地：2.4元/平方米。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（三）</w:t>
      </w:r>
      <w:r>
        <w:rPr>
          <w:rFonts w:ascii="方正楷体简体" w:eastAsia="方正楷体简体"/>
          <w:sz w:val="32"/>
          <w:szCs w:val="32"/>
        </w:rPr>
        <w:t>元宝山区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一等地：6.4元/平方米；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五等地：2.4元/平方米。</w:t>
      </w:r>
    </w:p>
    <w:p>
      <w:pPr>
        <w:spacing w:line="580" w:lineRule="exact"/>
        <w:ind w:firstLine="640" w:firstLineChars="200"/>
        <w:rPr>
          <w:rFonts w:ascii="方正黑体简体" w:hAnsi="黑体" w:eastAsia="方正黑体简体"/>
          <w:sz w:val="32"/>
          <w:szCs w:val="32"/>
        </w:rPr>
      </w:pPr>
      <w:r>
        <w:rPr>
          <w:rFonts w:ascii="方正黑体简体" w:hAnsi="黑体" w:eastAsia="方正黑体简体"/>
          <w:sz w:val="32"/>
          <w:szCs w:val="32"/>
        </w:rPr>
        <w:t>二、市所属旗县应税土地单位税额标准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（一）</w:t>
      </w:r>
      <w:r>
        <w:rPr>
          <w:rFonts w:ascii="方正楷体简体" w:eastAsia="方正楷体简体"/>
          <w:sz w:val="32"/>
          <w:szCs w:val="32"/>
        </w:rPr>
        <w:t>阿鲁科尔沁旗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一等地：6.4元/平方米；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五等地：2.4元/平方米。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（二）巴林左旗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一等地：6.4元/平方米；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好布高嘎查矿区：4.8元/平方米；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白音诺尔矿区:  4.8元/平方米。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（三）巴林右旗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一等地：6.4元/平方米；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五等地：2.4元/平方米。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（四）林西县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一等地：6.4元/平方米；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十二吐乡矿区：4.8元/平方米。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（五）克什克腾旗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一等地：6.4元/平方米；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黄岗梁矿区：4.8元/平方米；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巴彦查干苏木矿区：4.8元/平方米。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（六）翁牛特旗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一等地：6.4元/平方米；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五等地：2.4元/平方米。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（七）喀喇沁旗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一等地：6.4元/平方米；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五等地：2.4元/平方米。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（八）宁城县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一等地：6.4元/平方米；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五等地：2.4元/平方米。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（九）敖汉旗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一等地：6.4元/平方米；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四等地：3.2元/平方米；</w:t>
      </w:r>
    </w:p>
    <w:p>
      <w:pPr>
        <w:spacing w:line="58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五等地：2.4元/平方米。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A151C"/>
    <w:rsid w:val="3C8A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2019-03-26T09:03:00Z</dcterms:created>
  <dc:creator>bgt</dc:creator>
  <cp:lastModifiedBy>bgt</cp:lastModifiedBy>
  <dcterms:modified xsi:type="dcterms:W3CDTF">2019-03-26T09:03:24Z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