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</w:pPr>
      <w:r>
        <w:rPr>
          <w:rFonts w:hint="default"/>
        </w:rPr>
        <w:t>“码”上知道营改增二维码图标名称</w:t>
      </w:r>
    </w:p>
    <w:p>
      <w:pPr>
        <w:bidi w:val="0"/>
        <w:rPr>
          <w:rFonts w:hint="default"/>
        </w:rPr>
      </w:pPr>
      <w:r>
        <w:rPr>
          <w:rFonts w:hint="default"/>
        </w:rPr>
        <w:t>一、营改增税收政策</w:t>
      </w:r>
    </w:p>
    <w:p>
      <w:pPr>
        <w:bidi w:val="0"/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"http://12366.bjnsr.gov.cn/YwglYgzWWBLH_ydmore.do?id=1" </w:instrText>
      </w:r>
      <w:r>
        <w:rPr>
          <w:rFonts w:hint="default"/>
        </w:rPr>
        <w:fldChar w:fldCharType="separate"/>
      </w:r>
      <w:r>
        <w:rPr>
          <w:rStyle w:val="6"/>
          <w:rFonts w:hint="default" w:ascii="sans-serif" w:hAnsi="sans-serif" w:eastAsia="sans-serif" w:cs="sans-serif"/>
          <w:b w:val="0"/>
          <w:i w:val="0"/>
          <w:caps w:val="0"/>
          <w:spacing w:val="0"/>
          <w:szCs w:val="24"/>
        </w:rPr>
        <w:t>http://12366.bjnsr.gov.cn/YwglYgzWWBLH_ydmore.do?id=1</w:t>
      </w:r>
      <w:r>
        <w:rPr>
          <w:rFonts w:hint="default"/>
        </w:rPr>
        <w:fldChar w:fldCharType="end"/>
      </w:r>
    </w:p>
    <w:p>
      <w:pPr>
        <w:bidi w:val="0"/>
        <w:rPr>
          <w:rFonts w:hint="default"/>
        </w:rPr>
      </w:pPr>
      <w:r>
        <w:rPr>
          <w:rFonts w:hint="default"/>
        </w:rPr>
        <w:t>二、营改增征税范围</w:t>
      </w:r>
    </w:p>
    <w:p>
      <w:pPr>
        <w:bidi w:val="0"/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"http://12366.bjnsr.gov.cn/YwglYgzWWBLH_ydxqxs.do?id=42D13C5982244C079527A9C6A389C7ED" </w:instrText>
      </w:r>
      <w:r>
        <w:rPr>
          <w:rFonts w:hint="default"/>
        </w:rPr>
        <w:fldChar w:fldCharType="separate"/>
      </w:r>
      <w:r>
        <w:rPr>
          <w:rStyle w:val="6"/>
          <w:rFonts w:hint="default" w:ascii="sans-serif" w:hAnsi="sans-serif" w:eastAsia="sans-serif" w:cs="sans-serif"/>
          <w:b w:val="0"/>
          <w:i w:val="0"/>
          <w:caps w:val="0"/>
          <w:spacing w:val="0"/>
          <w:szCs w:val="24"/>
        </w:rPr>
        <w:t>http://12366.bjnsr.gov.cn/YwglYgzWWBLH_ydxqxs.do?id=42D13C5982244C079527A9C6A389C7ED</w:t>
      </w:r>
      <w:r>
        <w:rPr>
          <w:rFonts w:hint="default"/>
        </w:rPr>
        <w:fldChar w:fldCharType="end"/>
      </w:r>
      <w:bookmarkStart w:id="0" w:name="_GoBack"/>
      <w:bookmarkEnd w:id="0"/>
    </w:p>
    <w:p>
      <w:pPr>
        <w:bidi w:val="0"/>
        <w:rPr>
          <w:rFonts w:hint="default"/>
        </w:rPr>
      </w:pPr>
      <w:r>
        <w:rPr>
          <w:rFonts w:hint="default"/>
        </w:rPr>
        <w:t>三、营改增税率与征收率</w:t>
      </w:r>
    </w:p>
    <w:p>
      <w:pPr>
        <w:bidi w:val="0"/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"http://12366.bjnsr.gov.cn/YwglYgzWWBLH_ydxqxs.do?id=88149D1A378F4AD3A245FC7A1AD3E20C" </w:instrText>
      </w:r>
      <w:r>
        <w:rPr>
          <w:rFonts w:hint="default"/>
        </w:rPr>
        <w:fldChar w:fldCharType="separate"/>
      </w:r>
      <w:r>
        <w:rPr>
          <w:rStyle w:val="6"/>
          <w:rFonts w:hint="default" w:ascii="sans-serif" w:hAnsi="sans-serif" w:eastAsia="sans-serif" w:cs="sans-serif"/>
          <w:b w:val="0"/>
          <w:i w:val="0"/>
          <w:caps w:val="0"/>
          <w:spacing w:val="0"/>
          <w:szCs w:val="24"/>
        </w:rPr>
        <w:t>http://12366.bjnsr.gov.cn/YwglYgzWWBLH_ydxqxs.do?id=88149D1A378F4AD3A245FC7A1AD3E20C</w:t>
      </w:r>
      <w:r>
        <w:rPr>
          <w:rFonts w:hint="default"/>
        </w:rPr>
        <w:fldChar w:fldCharType="end"/>
      </w:r>
    </w:p>
    <w:p>
      <w:pPr>
        <w:bidi w:val="0"/>
        <w:rPr>
          <w:rFonts w:hint="default"/>
        </w:rPr>
      </w:pPr>
      <w:r>
        <w:rPr>
          <w:rFonts w:hint="default"/>
        </w:rPr>
        <w:t>四、营改增税收优惠</w:t>
      </w:r>
    </w:p>
    <w:p>
      <w:pPr>
        <w:bidi w:val="0"/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"http://12366.bjnsr.gov.cn/YwglYgzWWBLH_ydxqxs.do?id=7843A7BA3DE1452AA72F03818A9A06DF" </w:instrText>
      </w:r>
      <w:r>
        <w:rPr>
          <w:rFonts w:hint="default"/>
        </w:rPr>
        <w:fldChar w:fldCharType="separate"/>
      </w:r>
      <w:r>
        <w:rPr>
          <w:rStyle w:val="6"/>
          <w:rFonts w:hint="default" w:ascii="sans-serif" w:hAnsi="sans-serif" w:eastAsia="sans-serif" w:cs="sans-serif"/>
          <w:b w:val="0"/>
          <w:i w:val="0"/>
          <w:caps w:val="0"/>
          <w:spacing w:val="0"/>
          <w:szCs w:val="24"/>
        </w:rPr>
        <w:t>http://12366.bjnsr.gov.cn/YwglYgzWWBLH_ydxqxs.do?id=7843A7BA3DE1452AA72F03818A9A06DF</w:t>
      </w:r>
      <w:r>
        <w:rPr>
          <w:rFonts w:hint="default"/>
        </w:rPr>
        <w:fldChar w:fldCharType="end"/>
      </w:r>
    </w:p>
    <w:p>
      <w:pPr>
        <w:bidi w:val="0"/>
        <w:rPr>
          <w:rFonts w:hint="default"/>
        </w:rPr>
      </w:pPr>
      <w:r>
        <w:rPr>
          <w:rFonts w:hint="default"/>
        </w:rPr>
        <w:t>五、房地产业增值税税收政策</w:t>
      </w:r>
    </w:p>
    <w:p>
      <w:pPr>
        <w:bidi w:val="0"/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"http://12366.bjnsr.gov.cn/YwglYgzWWBLH_ydxqxs.do?id=B186630092764EDFA1666F45E5EAD6B0" </w:instrText>
      </w:r>
      <w:r>
        <w:rPr>
          <w:rFonts w:hint="default"/>
        </w:rPr>
        <w:fldChar w:fldCharType="separate"/>
      </w:r>
      <w:r>
        <w:rPr>
          <w:rStyle w:val="6"/>
          <w:rFonts w:hint="default" w:ascii="sans-serif" w:hAnsi="sans-serif" w:eastAsia="sans-serif" w:cs="sans-serif"/>
          <w:b w:val="0"/>
          <w:i w:val="0"/>
          <w:caps w:val="0"/>
          <w:spacing w:val="0"/>
          <w:szCs w:val="24"/>
        </w:rPr>
        <w:t>http://12366.bjnsr.gov.cn/YwglYgzWWBLH_ydxqxs.do?id=B186630092764EDFA1666F45E5EAD6B0</w:t>
      </w:r>
      <w:r>
        <w:rPr>
          <w:rFonts w:hint="default"/>
        </w:rPr>
        <w:fldChar w:fldCharType="end"/>
      </w:r>
    </w:p>
    <w:p>
      <w:pPr>
        <w:bidi w:val="0"/>
        <w:rPr>
          <w:rFonts w:hint="default"/>
        </w:rPr>
      </w:pPr>
      <w:r>
        <w:rPr>
          <w:rFonts w:hint="default"/>
        </w:rPr>
        <w:t>六、金融业增值税税收政策</w:t>
      </w:r>
    </w:p>
    <w:p>
      <w:pPr>
        <w:bidi w:val="0"/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"http://12366.bjnsr.gov.cn/YwglYgzWWBLH_ydxqxs.do?id=B0AC2638611A4EDFB1C050A209063C97" </w:instrText>
      </w:r>
      <w:r>
        <w:rPr>
          <w:rFonts w:hint="default"/>
        </w:rPr>
        <w:fldChar w:fldCharType="separate"/>
      </w:r>
      <w:r>
        <w:rPr>
          <w:rStyle w:val="6"/>
          <w:rFonts w:hint="default" w:ascii="sans-serif" w:hAnsi="sans-serif" w:eastAsia="sans-serif" w:cs="sans-serif"/>
          <w:b w:val="0"/>
          <w:i w:val="0"/>
          <w:caps w:val="0"/>
          <w:spacing w:val="0"/>
          <w:szCs w:val="24"/>
        </w:rPr>
        <w:t>http://12366.bjnsr.gov.cn/YwglYgzWWBLH_ydxqxs.do?id=B0AC2638611A4EDFB1C050A209063C97</w:t>
      </w:r>
      <w:r>
        <w:rPr>
          <w:rFonts w:hint="default"/>
        </w:rPr>
        <w:fldChar w:fldCharType="end"/>
      </w:r>
    </w:p>
    <w:p>
      <w:pPr>
        <w:bidi w:val="0"/>
        <w:rPr>
          <w:rFonts w:hint="default"/>
        </w:rPr>
      </w:pPr>
      <w:r>
        <w:rPr>
          <w:rFonts w:hint="default"/>
        </w:rPr>
        <w:t>七、建筑业增值税税收政策</w:t>
      </w:r>
    </w:p>
    <w:p>
      <w:pPr>
        <w:bidi w:val="0"/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"http://12366.bjnsr.gov.cn/YwglYgzWWBLH_ydxqxs.do?id=A70B88D86B4E46589A4A2FE2594C1FDE" </w:instrText>
      </w:r>
      <w:r>
        <w:rPr>
          <w:rFonts w:hint="default"/>
        </w:rPr>
        <w:fldChar w:fldCharType="separate"/>
      </w:r>
      <w:r>
        <w:rPr>
          <w:rStyle w:val="6"/>
          <w:rFonts w:hint="default" w:ascii="sans-serif" w:hAnsi="sans-serif" w:eastAsia="sans-serif" w:cs="sans-serif"/>
          <w:b w:val="0"/>
          <w:i w:val="0"/>
          <w:caps w:val="0"/>
          <w:spacing w:val="0"/>
          <w:szCs w:val="24"/>
        </w:rPr>
        <w:t>http://12366.bjnsr.gov.cn/YwglYgzWWBLH_ydxqxs.do?id=A70B88D86B4E46589A4A2FE2594C1FDE</w:t>
      </w:r>
      <w:r>
        <w:rPr>
          <w:rFonts w:hint="default"/>
        </w:rPr>
        <w:fldChar w:fldCharType="end"/>
      </w:r>
    </w:p>
    <w:p>
      <w:pPr>
        <w:bidi w:val="0"/>
        <w:rPr>
          <w:rFonts w:hint="default"/>
        </w:rPr>
      </w:pPr>
      <w:r>
        <w:rPr>
          <w:rFonts w:hint="default"/>
        </w:rPr>
        <w:t>八、生活服务业增值税税收政策</w:t>
      </w:r>
    </w:p>
    <w:p>
      <w:pPr>
        <w:bidi w:val="0"/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"http://12366.bjnsr.gov.cn/YwglYgzWWBLH_ydxqxs.do?id=048D09A7BB0746C6B161E1B8988B38A6" </w:instrText>
      </w:r>
      <w:r>
        <w:rPr>
          <w:rFonts w:hint="default"/>
        </w:rPr>
        <w:fldChar w:fldCharType="separate"/>
      </w:r>
      <w:r>
        <w:rPr>
          <w:rStyle w:val="6"/>
          <w:rFonts w:hint="default" w:ascii="sans-serif" w:hAnsi="sans-serif" w:eastAsia="sans-serif" w:cs="sans-serif"/>
          <w:b w:val="0"/>
          <w:i w:val="0"/>
          <w:caps w:val="0"/>
          <w:spacing w:val="0"/>
          <w:szCs w:val="24"/>
        </w:rPr>
        <w:t>http://12366.bjnsr.gov.cn/YwglYgzWWBLH_ydxqxs.do?id=048D09A7BB0746C6B161E1B8988B38A6</w:t>
      </w:r>
      <w:r>
        <w:rPr>
          <w:rFonts w:hint="default"/>
        </w:rPr>
        <w:fldChar w:fldCharType="end"/>
      </w:r>
    </w:p>
    <w:p>
      <w:pPr>
        <w:bidi w:val="0"/>
      </w:pPr>
      <w: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2484B"/>
    <w:rsid w:val="0BB2484B"/>
    <w:rsid w:val="4110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124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2019-03-18T02:16:00Z</dcterms:created>
  <dc:creator>芒果很氓</dc:creator>
  <cp:lastModifiedBy>芒果很氓</cp:lastModifiedBy>
  <dcterms:modified xsi:type="dcterms:W3CDTF">2019-03-18T04:22:52Z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