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7</w:t>
      </w:r>
      <w:bookmarkStart w:id="0" w:name="_GoBack"/>
      <w:bookmarkEnd w:id="0"/>
      <w:r>
        <w:rPr>
          <w:rFonts w:hint="eastAsia"/>
        </w:rPr>
        <w:t>：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资产负债表</w: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  年    月    日</w:t>
      </w:r>
    </w:p>
    <w:tbl>
      <w:tblPr>
        <w:tblStyle w:val="4"/>
        <w:tblW w:w="8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111111" w:sz="6" w:space="0"/>
          <w:insideV w:val="outset" w:color="111111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415"/>
        <w:gridCol w:w="830"/>
        <w:gridCol w:w="830"/>
        <w:gridCol w:w="2077"/>
        <w:gridCol w:w="415"/>
        <w:gridCol w:w="8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8304" w:type="dxa"/>
            <w:gridSpan w:val="8"/>
            <w:tcBorders>
              <w:bottom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编制单位: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单位:元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vMerge w:val="restart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资产</w:t>
            </w:r>
          </w:p>
        </w:tc>
        <w:tc>
          <w:tcPr>
            <w:tcW w:w="415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行次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年初数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期末数</w:t>
            </w:r>
          </w:p>
        </w:tc>
        <w:tc>
          <w:tcPr>
            <w:tcW w:w="2077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负债及所有者权益</w:t>
            </w:r>
          </w:p>
        </w:tc>
        <w:tc>
          <w:tcPr>
            <w:tcW w:w="415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行次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年初数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期末数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vMerge w:val="continue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5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5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流动资产：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流动负债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货币资金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短期借款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短期投资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应付票据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应收票据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应付帐款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应收帐款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预收帐款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减:坏帐准备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其他应付款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应收帐款净额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应付工资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预付帐款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应付福利费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应收补贴款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未交税金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其他应收款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未付利润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存货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其他未交款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待摊费用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预提费用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待处理流动资产净损失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一年内到期的长期负债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一年内到期的长期债券投资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其他流动负债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其他流动资产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流动负债合计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流动资产合计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长期负债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长期投资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长期借款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长期投资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应付债券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固定资产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长期应付款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固定资产原价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其他长期负债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减:累计折旧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其中:住房周转金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固定资产净值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固定资产清理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长期负债合计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在建工程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递延税项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待处理固定资产净损失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递延税款贷项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固定资产合计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无形资产及递延资产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负债合计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无形资产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所有者权益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递延资产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实收资本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资本公积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无形资产及递延资产合计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盈余公积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其他长期资产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其中:公益金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其他长期资产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未分配利润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递延税项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所有者权益合计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递延税款借项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077" w:type="dxa"/>
            <w:tcBorders>
              <w:top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资产总计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负债及所有者权益总计</w:t>
            </w:r>
          </w:p>
        </w:tc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补充资料：</w:t>
      </w:r>
    </w:p>
    <w:p>
      <w:pPr>
        <w:rPr>
          <w:rFonts w:hint="eastAsia"/>
        </w:rPr>
      </w:pPr>
      <w:r>
        <w:rPr>
          <w:rFonts w:hint="eastAsia"/>
        </w:rPr>
        <w:t>1.已贴现的商业承兑汇票元；</w:t>
      </w:r>
    </w:p>
    <w:p>
      <w:r>
        <w:rPr>
          <w:rFonts w:hint="eastAsia"/>
        </w:rPr>
        <w:t>2.已包括在固定资产原价内的融资租入固定资产原价元；</w:t>
      </w:r>
    </w:p>
    <w:p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国家资本元；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4.法人资本元；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5.个人资本元；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6.外商资本元。</w:t>
      </w:r>
    </w:p>
    <w:p>
      <w:r>
        <w:rPr>
          <w:rFonts w:hint="eastAsia"/>
        </w:rPr>
        <w:t>单位负责人：</w:t>
      </w:r>
      <w:r>
        <w:rPr>
          <w:rFonts w:hint="eastAsia"/>
          <w:lang w:val="en-US" w:eastAsia="zh-CN"/>
        </w:rPr>
        <w:t xml:space="preserve">             财会负责人：              复核：                制表：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B5A31"/>
    <w:rsid w:val="031B5A31"/>
    <w:rsid w:val="316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2018-12-14T05:02:00Z</dcterms:created>
  <dc:creator>Administrator</dc:creator>
  <cp:lastModifiedBy>Administrator</cp:lastModifiedBy>
  <dcterms:modified xsi:type="dcterms:W3CDTF">2018-12-14T05:07:10Z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