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CCE" w:rsidRPr="00316457" w:rsidRDefault="00836CCE" w:rsidP="00836CCE">
      <w:pPr>
        <w:pStyle w:val="a3"/>
        <w:spacing w:line="360" w:lineRule="auto"/>
        <w:rPr>
          <w:rFonts w:ascii="黑体" w:eastAsia="黑体" w:hAnsi="宋体"/>
          <w:bCs/>
          <w:sz w:val="32"/>
          <w:szCs w:val="32"/>
        </w:rPr>
      </w:pPr>
      <w:r w:rsidRPr="00316457">
        <w:rPr>
          <w:rFonts w:ascii="黑体" w:eastAsia="黑体" w:hAnsi="宋体" w:hint="eastAsia"/>
          <w:bCs/>
          <w:sz w:val="32"/>
          <w:szCs w:val="32"/>
        </w:rPr>
        <w:t>附件2</w:t>
      </w:r>
    </w:p>
    <w:p w:rsidR="00836CCE" w:rsidRPr="00316457" w:rsidRDefault="00836CCE" w:rsidP="00836CCE">
      <w:pPr>
        <w:pStyle w:val="a3"/>
        <w:spacing w:line="360" w:lineRule="auto"/>
        <w:ind w:firstLine="880"/>
        <w:jc w:val="center"/>
        <w:rPr>
          <w:rFonts w:ascii="方正小标宋_GBK" w:eastAsia="方正小标宋_GBK" w:hAnsi="宋体"/>
          <w:bCs/>
          <w:sz w:val="32"/>
          <w:szCs w:val="32"/>
        </w:rPr>
      </w:pPr>
      <w:r w:rsidRPr="00316457">
        <w:rPr>
          <w:rFonts w:ascii="方正小标宋_GBK" w:eastAsia="方正小标宋_GBK" w:hAnsi="宋体" w:hint="eastAsia"/>
          <w:bCs/>
          <w:sz w:val="32"/>
          <w:szCs w:val="32"/>
        </w:rPr>
        <w:t>《告知书》</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t>一、适用特殊性税务处理的企业，应按规定向主管税务机关报送相关说明：</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t>1</w:t>
      </w:r>
      <w:r w:rsidRPr="00316457">
        <w:rPr>
          <w:rFonts w:eastAsia="仿宋_GB2312" w:hint="eastAsia"/>
          <w:kern w:val="2"/>
          <w:sz w:val="32"/>
          <w:szCs w:val="32"/>
        </w:rPr>
        <w:t>、适用财税〔</w:t>
      </w:r>
      <w:r w:rsidRPr="00316457">
        <w:rPr>
          <w:rFonts w:eastAsia="仿宋_GB2312" w:hint="eastAsia"/>
          <w:kern w:val="2"/>
          <w:sz w:val="32"/>
          <w:szCs w:val="32"/>
        </w:rPr>
        <w:t>2009</w:t>
      </w:r>
      <w:r w:rsidRPr="00316457">
        <w:rPr>
          <w:rFonts w:eastAsia="仿宋_GB2312" w:hint="eastAsia"/>
          <w:kern w:val="2"/>
          <w:sz w:val="32"/>
          <w:szCs w:val="32"/>
        </w:rPr>
        <w:t>〕</w:t>
      </w:r>
      <w:r w:rsidRPr="00316457">
        <w:rPr>
          <w:rFonts w:eastAsia="仿宋_GB2312" w:hint="eastAsia"/>
          <w:kern w:val="2"/>
          <w:sz w:val="32"/>
          <w:szCs w:val="32"/>
        </w:rPr>
        <w:t>59</w:t>
      </w:r>
      <w:r w:rsidRPr="00316457">
        <w:rPr>
          <w:rFonts w:eastAsia="仿宋_GB2312" w:hint="eastAsia"/>
          <w:kern w:val="2"/>
          <w:sz w:val="32"/>
          <w:szCs w:val="32"/>
        </w:rPr>
        <w:t>号文件第五条第（三）项和第（五）项的当事各方应在完成重组业务后的下一年度的企业所得税年度申报时提交书面情况说明，以证明企业在重组后的连续</w:t>
      </w:r>
      <w:r w:rsidRPr="00316457">
        <w:rPr>
          <w:rFonts w:eastAsia="仿宋_GB2312" w:hint="eastAsia"/>
          <w:kern w:val="2"/>
          <w:sz w:val="32"/>
          <w:szCs w:val="32"/>
        </w:rPr>
        <w:t>12</w:t>
      </w:r>
      <w:r w:rsidRPr="00316457">
        <w:rPr>
          <w:rFonts w:eastAsia="仿宋_GB2312" w:hint="eastAsia"/>
          <w:kern w:val="2"/>
          <w:sz w:val="32"/>
          <w:szCs w:val="32"/>
        </w:rPr>
        <w:t>个月内，有关符合特殊性税务处理的条件未发生改变。</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t>2</w:t>
      </w:r>
      <w:r w:rsidRPr="00316457">
        <w:rPr>
          <w:rFonts w:eastAsia="仿宋_GB2312" w:hint="eastAsia"/>
          <w:kern w:val="2"/>
          <w:sz w:val="32"/>
          <w:szCs w:val="32"/>
        </w:rPr>
        <w:t>、企业发生财税〔</w:t>
      </w:r>
      <w:r w:rsidRPr="00316457">
        <w:rPr>
          <w:rFonts w:eastAsia="仿宋_GB2312" w:hint="eastAsia"/>
          <w:kern w:val="2"/>
          <w:sz w:val="32"/>
          <w:szCs w:val="32"/>
        </w:rPr>
        <w:t>2009</w:t>
      </w:r>
      <w:r w:rsidRPr="00316457">
        <w:rPr>
          <w:rFonts w:eastAsia="仿宋_GB2312" w:hint="eastAsia"/>
          <w:kern w:val="2"/>
          <w:sz w:val="32"/>
          <w:szCs w:val="32"/>
        </w:rPr>
        <w:t>〕</w:t>
      </w:r>
      <w:r w:rsidRPr="00316457">
        <w:rPr>
          <w:rFonts w:eastAsia="仿宋_GB2312" w:hint="eastAsia"/>
          <w:kern w:val="2"/>
          <w:sz w:val="32"/>
          <w:szCs w:val="32"/>
        </w:rPr>
        <w:t>59</w:t>
      </w:r>
      <w:r w:rsidRPr="00316457">
        <w:rPr>
          <w:rFonts w:eastAsia="仿宋_GB2312" w:hint="eastAsia"/>
          <w:kern w:val="2"/>
          <w:sz w:val="32"/>
          <w:szCs w:val="32"/>
        </w:rPr>
        <w:t>号文件第六条第（一）项规定的债务重组，应准确记录应予确认的债务重组所得，并在相应年度的企业所得税汇算清缴时对当年确认额及分年结转额的情况做出说明。</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t>3</w:t>
      </w:r>
      <w:r w:rsidRPr="00316457">
        <w:rPr>
          <w:rFonts w:eastAsia="仿宋_GB2312" w:hint="eastAsia"/>
          <w:kern w:val="2"/>
          <w:sz w:val="32"/>
          <w:szCs w:val="32"/>
        </w:rPr>
        <w:t>、企业发生财税〔</w:t>
      </w:r>
      <w:r w:rsidRPr="00316457">
        <w:rPr>
          <w:rFonts w:eastAsia="仿宋_GB2312" w:hint="eastAsia"/>
          <w:kern w:val="2"/>
          <w:sz w:val="32"/>
          <w:szCs w:val="32"/>
        </w:rPr>
        <w:t>2009</w:t>
      </w:r>
      <w:r w:rsidRPr="00316457">
        <w:rPr>
          <w:rFonts w:eastAsia="仿宋_GB2312" w:hint="eastAsia"/>
          <w:kern w:val="2"/>
          <w:sz w:val="32"/>
          <w:szCs w:val="32"/>
        </w:rPr>
        <w:t>〕</w:t>
      </w:r>
      <w:r w:rsidRPr="00316457">
        <w:rPr>
          <w:rFonts w:eastAsia="仿宋_GB2312" w:hint="eastAsia"/>
          <w:kern w:val="2"/>
          <w:sz w:val="32"/>
          <w:szCs w:val="32"/>
        </w:rPr>
        <w:t>59</w:t>
      </w:r>
      <w:r w:rsidRPr="00316457">
        <w:rPr>
          <w:rFonts w:eastAsia="仿宋_GB2312" w:hint="eastAsia"/>
          <w:kern w:val="2"/>
          <w:sz w:val="32"/>
          <w:szCs w:val="32"/>
        </w:rPr>
        <w:t>号文件第七条第（三）项规定的重组，应准确记录应予确认的资产或股权转让收益总额，并在相应年度的企业所得税汇算清缴时对当年确认额及分年结转额的情况做出说明。</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t>4</w:t>
      </w:r>
      <w:r w:rsidRPr="00316457">
        <w:rPr>
          <w:rFonts w:eastAsia="仿宋_GB2312" w:hint="eastAsia"/>
          <w:kern w:val="2"/>
          <w:sz w:val="32"/>
          <w:szCs w:val="32"/>
        </w:rPr>
        <w:t>、适用特殊性税务处理的企业，在以后年度转让或处置重组资产（股权）时，应在年度纳税申报时对资产（股权）转让所得或损失情况进行专项说明，包括特殊性税务处理时确定的重组资产（股权）计税基础与转让或处置时的计税基础的比对情况，以及递延所得税负债的处理情况等。</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lastRenderedPageBreak/>
        <w:t>二、适用特殊性税务处理的当事各方，其中一方在规定时间内发生生产经营业务、公司性质、资产或股权结构等情况变化，致使重组业务不再符合特殊性税务处理条件的</w:t>
      </w:r>
      <w:r w:rsidRPr="00316457">
        <w:rPr>
          <w:rFonts w:eastAsia="仿宋_GB2312" w:hint="eastAsia"/>
          <w:kern w:val="2"/>
          <w:sz w:val="32"/>
          <w:szCs w:val="32"/>
        </w:rPr>
        <w:t>,</w:t>
      </w:r>
      <w:r w:rsidRPr="00316457">
        <w:rPr>
          <w:rFonts w:eastAsia="仿宋_GB2312" w:hint="eastAsia"/>
          <w:kern w:val="2"/>
          <w:sz w:val="32"/>
          <w:szCs w:val="32"/>
        </w:rPr>
        <w:t>发生变化的当事方应在情况发生变化的</w:t>
      </w:r>
      <w:r w:rsidRPr="00316457">
        <w:rPr>
          <w:rFonts w:eastAsia="仿宋_GB2312" w:hint="eastAsia"/>
          <w:kern w:val="2"/>
          <w:sz w:val="32"/>
          <w:szCs w:val="32"/>
        </w:rPr>
        <w:t>30</w:t>
      </w:r>
      <w:r w:rsidRPr="00316457">
        <w:rPr>
          <w:rFonts w:eastAsia="仿宋_GB2312" w:hint="eastAsia"/>
          <w:kern w:val="2"/>
          <w:sz w:val="32"/>
          <w:szCs w:val="32"/>
        </w:rPr>
        <w:t>天内书面通知其他所有当事方。主导方在接到通知后</w:t>
      </w:r>
      <w:r w:rsidRPr="00316457">
        <w:rPr>
          <w:rFonts w:eastAsia="仿宋_GB2312" w:hint="eastAsia"/>
          <w:kern w:val="2"/>
          <w:sz w:val="32"/>
          <w:szCs w:val="32"/>
        </w:rPr>
        <w:t>30</w:t>
      </w:r>
      <w:r w:rsidRPr="00316457">
        <w:rPr>
          <w:rFonts w:eastAsia="仿宋_GB2312" w:hint="eastAsia"/>
          <w:kern w:val="2"/>
          <w:sz w:val="32"/>
          <w:szCs w:val="32"/>
        </w:rPr>
        <w:t>日内将有关变化通知其主管税务机关及其他当事各方。</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t>上款所述情况发生变化后</w:t>
      </w:r>
      <w:r w:rsidRPr="00316457">
        <w:rPr>
          <w:rFonts w:eastAsia="仿宋_GB2312" w:hint="eastAsia"/>
          <w:kern w:val="2"/>
          <w:sz w:val="32"/>
          <w:szCs w:val="32"/>
        </w:rPr>
        <w:t>60</w:t>
      </w:r>
      <w:r w:rsidRPr="00316457">
        <w:rPr>
          <w:rFonts w:eastAsia="仿宋_GB2312" w:hint="eastAsia"/>
          <w:kern w:val="2"/>
          <w:sz w:val="32"/>
          <w:szCs w:val="32"/>
        </w:rPr>
        <w:t>日内，当事各方应按照财税〔</w:t>
      </w:r>
      <w:r w:rsidRPr="00316457">
        <w:rPr>
          <w:rFonts w:eastAsia="仿宋_GB2312" w:hint="eastAsia"/>
          <w:kern w:val="2"/>
          <w:sz w:val="32"/>
          <w:szCs w:val="32"/>
        </w:rPr>
        <w:t>2009</w:t>
      </w:r>
      <w:r w:rsidRPr="00316457">
        <w:rPr>
          <w:rFonts w:eastAsia="仿宋_GB2312" w:hint="eastAsia"/>
          <w:kern w:val="2"/>
          <w:sz w:val="32"/>
          <w:szCs w:val="32"/>
        </w:rPr>
        <w:t>〕</w:t>
      </w:r>
      <w:r w:rsidRPr="00316457">
        <w:rPr>
          <w:rFonts w:eastAsia="仿宋_GB2312" w:hint="eastAsia"/>
          <w:kern w:val="2"/>
          <w:sz w:val="32"/>
          <w:szCs w:val="32"/>
        </w:rPr>
        <w:t>59</w:t>
      </w:r>
      <w:r w:rsidRPr="00316457">
        <w:rPr>
          <w:rFonts w:eastAsia="仿宋_GB2312" w:hint="eastAsia"/>
          <w:kern w:val="2"/>
          <w:sz w:val="32"/>
          <w:szCs w:val="32"/>
        </w:rPr>
        <w:t>号文件第四条的规定调整重组业务的税务处理。原交易各方应各自按原交易完成时资产和负债的公允价值计算重组业务的收益或损失，调整交易完成纳税年度的应纳税所得额及相应的资产和负债的计税基础，并向各自主管税务机关申请调整交易完成纳税年度的企业所得税年度申报表。逾期不调整申报的，按照《征管法》的相关规定处理。</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t>三、适用特殊性税务处理的企业，应建立重组业务相关资产（股权）的税会差异台账，准确记录重组资产（股权）的计税基础、账面价值、转让或处置重组资产（股权）所得或损失以及与重组相关的税收调整情况，并按规定的范围、地点、时限保存重组事项备查资料，以备税务机关审查、核实。企业在税务机关对特殊性税务处理事项后续管理中不能提供备查资料，或经税务机关核实，重组业务不符合特殊性税务处理条件的，重组事项不适用特殊性税务处理，应及时通知其他重组各方，按照《告知书》第</w:t>
      </w:r>
      <w:r w:rsidRPr="00316457">
        <w:rPr>
          <w:rFonts w:eastAsia="仿宋_GB2312" w:hint="eastAsia"/>
          <w:kern w:val="2"/>
          <w:sz w:val="32"/>
          <w:szCs w:val="32"/>
        </w:rPr>
        <w:t>2</w:t>
      </w:r>
      <w:r w:rsidRPr="00316457">
        <w:rPr>
          <w:rFonts w:eastAsia="仿宋_GB2312" w:hint="eastAsia"/>
          <w:kern w:val="2"/>
          <w:sz w:val="32"/>
          <w:szCs w:val="32"/>
        </w:rPr>
        <w:t>条第</w:t>
      </w:r>
      <w:r w:rsidRPr="00316457">
        <w:rPr>
          <w:rFonts w:eastAsia="仿宋_GB2312" w:hint="eastAsia"/>
          <w:kern w:val="2"/>
          <w:sz w:val="32"/>
          <w:szCs w:val="32"/>
        </w:rPr>
        <w:t>2</w:t>
      </w:r>
      <w:r w:rsidRPr="00316457">
        <w:rPr>
          <w:rFonts w:eastAsia="仿宋_GB2312" w:hint="eastAsia"/>
          <w:kern w:val="2"/>
          <w:sz w:val="32"/>
          <w:szCs w:val="32"/>
        </w:rPr>
        <w:t>款规定办理。</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lastRenderedPageBreak/>
        <w:t>四、</w:t>
      </w:r>
      <w:r w:rsidR="00B86310" w:rsidRPr="00316457">
        <w:rPr>
          <w:rFonts w:eastAsia="仿宋_GB2312" w:hint="eastAsia"/>
          <w:kern w:val="2"/>
          <w:sz w:val="32"/>
          <w:szCs w:val="32"/>
        </w:rPr>
        <w:t>本次资产重组业务的备</w:t>
      </w:r>
      <w:r w:rsidRPr="00316457">
        <w:rPr>
          <w:rFonts w:eastAsia="仿宋_GB2312" w:hint="eastAsia"/>
          <w:kern w:val="2"/>
          <w:sz w:val="32"/>
          <w:szCs w:val="32"/>
        </w:rPr>
        <w:t>查资料</w:t>
      </w:r>
      <w:r w:rsidR="00B86310" w:rsidRPr="00316457">
        <w:rPr>
          <w:rFonts w:eastAsia="仿宋_GB2312" w:hint="eastAsia"/>
          <w:kern w:val="2"/>
          <w:sz w:val="32"/>
          <w:szCs w:val="32"/>
        </w:rPr>
        <w:t>应</w:t>
      </w:r>
      <w:r w:rsidRPr="00316457">
        <w:rPr>
          <w:rFonts w:eastAsia="仿宋_GB2312" w:hint="eastAsia"/>
          <w:kern w:val="2"/>
          <w:sz w:val="32"/>
          <w:szCs w:val="32"/>
        </w:rPr>
        <w:t>存放在本企业注册地，</w:t>
      </w:r>
      <w:r w:rsidR="006E3103" w:rsidRPr="00316457">
        <w:rPr>
          <w:rFonts w:eastAsia="仿宋_GB2312" w:hint="eastAsia"/>
          <w:kern w:val="2"/>
          <w:sz w:val="32"/>
          <w:szCs w:val="32"/>
        </w:rPr>
        <w:t>按照《征管法》的规定（详见沪国税函</w:t>
      </w:r>
      <w:r w:rsidR="006E3103" w:rsidRPr="00316457">
        <w:rPr>
          <w:rFonts w:eastAsia="仿宋_GB2312" w:hint="eastAsia"/>
          <w:kern w:val="2"/>
          <w:sz w:val="32"/>
          <w:szCs w:val="32"/>
        </w:rPr>
        <w:t>[2015]</w:t>
      </w:r>
      <w:r w:rsidR="00B010AC">
        <w:rPr>
          <w:rFonts w:eastAsia="仿宋_GB2312" w:hint="eastAsia"/>
          <w:kern w:val="2"/>
          <w:sz w:val="32"/>
          <w:szCs w:val="32"/>
        </w:rPr>
        <w:t>24</w:t>
      </w:r>
      <w:r w:rsidR="006E3103" w:rsidRPr="00316457">
        <w:rPr>
          <w:rFonts w:eastAsia="仿宋_GB2312" w:hint="eastAsia"/>
          <w:kern w:val="2"/>
          <w:sz w:val="32"/>
          <w:szCs w:val="32"/>
        </w:rPr>
        <w:t>号附件</w:t>
      </w:r>
      <w:r w:rsidR="006E3103" w:rsidRPr="00316457">
        <w:rPr>
          <w:rFonts w:eastAsia="仿宋_GB2312" w:hint="eastAsia"/>
          <w:kern w:val="2"/>
          <w:sz w:val="32"/>
          <w:szCs w:val="32"/>
        </w:rPr>
        <w:t>5</w:t>
      </w:r>
      <w:r w:rsidR="006E3103" w:rsidRPr="00316457">
        <w:rPr>
          <w:rFonts w:eastAsia="仿宋_GB2312" w:hint="eastAsia"/>
          <w:kern w:val="2"/>
          <w:sz w:val="32"/>
          <w:szCs w:val="32"/>
        </w:rPr>
        <w:t>）</w:t>
      </w:r>
      <w:r w:rsidRPr="00316457">
        <w:rPr>
          <w:rFonts w:eastAsia="仿宋_GB2312" w:hint="eastAsia"/>
          <w:kern w:val="2"/>
          <w:sz w:val="32"/>
          <w:szCs w:val="32"/>
        </w:rPr>
        <w:t>备查资料至少应保存至重组年度结束后的十年。</w:t>
      </w:r>
    </w:p>
    <w:p w:rsidR="00836CCE" w:rsidRPr="00316457" w:rsidRDefault="00836CCE" w:rsidP="00316457">
      <w:pPr>
        <w:snapToGrid w:val="0"/>
        <w:spacing w:line="360" w:lineRule="auto"/>
        <w:ind w:firstLineChars="200" w:firstLine="640"/>
        <w:rPr>
          <w:rFonts w:eastAsia="仿宋_GB2312"/>
          <w:kern w:val="2"/>
          <w:sz w:val="32"/>
          <w:szCs w:val="32"/>
        </w:rPr>
      </w:pPr>
      <w:r w:rsidRPr="00316457">
        <w:rPr>
          <w:rFonts w:eastAsia="仿宋_GB2312" w:hint="eastAsia"/>
          <w:kern w:val="2"/>
          <w:sz w:val="32"/>
          <w:szCs w:val="32"/>
        </w:rPr>
        <w:t>五、适用特殊性重组业务的主导方，应在主管税务机关受理后三日内将经主管税务机关受理的《企业重组所得税特殊性税务处理报告表》（复印件）传递其他重组当事方企业。</w:t>
      </w:r>
    </w:p>
    <w:p w:rsidR="00836CCE" w:rsidRPr="00316457" w:rsidRDefault="00836CCE" w:rsidP="00836CCE">
      <w:pPr>
        <w:snapToGrid w:val="0"/>
        <w:spacing w:line="360" w:lineRule="auto"/>
        <w:rPr>
          <w:rFonts w:eastAsia="仿宋_GB2312"/>
          <w:kern w:val="2"/>
          <w:sz w:val="32"/>
          <w:szCs w:val="32"/>
        </w:rPr>
      </w:pPr>
    </w:p>
    <w:p w:rsidR="00836CCE" w:rsidRPr="00316457" w:rsidRDefault="00836CCE" w:rsidP="00836CCE">
      <w:pPr>
        <w:snapToGrid w:val="0"/>
        <w:spacing w:line="360" w:lineRule="auto"/>
        <w:rPr>
          <w:rFonts w:eastAsia="仿宋_GB2312"/>
          <w:kern w:val="2"/>
          <w:sz w:val="32"/>
          <w:szCs w:val="32"/>
        </w:rPr>
      </w:pPr>
    </w:p>
    <w:p w:rsidR="00836CCE" w:rsidRPr="00316457" w:rsidRDefault="00836CCE" w:rsidP="00316457">
      <w:pPr>
        <w:snapToGrid w:val="0"/>
        <w:spacing w:line="360" w:lineRule="auto"/>
        <w:ind w:firstLineChars="1100" w:firstLine="3520"/>
        <w:rPr>
          <w:rFonts w:eastAsia="仿宋_GB2312"/>
          <w:kern w:val="2"/>
          <w:sz w:val="32"/>
          <w:szCs w:val="32"/>
        </w:rPr>
      </w:pPr>
      <w:r w:rsidRPr="00316457">
        <w:rPr>
          <w:rFonts w:eastAsia="仿宋_GB2312" w:hint="eastAsia"/>
          <w:kern w:val="2"/>
          <w:sz w:val="32"/>
          <w:szCs w:val="32"/>
        </w:rPr>
        <w:t>上海市</w:t>
      </w:r>
      <w:r w:rsidRPr="00316457">
        <w:rPr>
          <w:rFonts w:eastAsia="仿宋_GB2312" w:hint="eastAsia"/>
          <w:kern w:val="2"/>
          <w:sz w:val="32"/>
          <w:szCs w:val="32"/>
          <w:u w:val="single"/>
        </w:rPr>
        <w:t xml:space="preserve">     </w:t>
      </w:r>
      <w:r w:rsidRPr="00316457">
        <w:rPr>
          <w:rFonts w:eastAsia="仿宋_GB2312" w:hint="eastAsia"/>
          <w:kern w:val="2"/>
          <w:sz w:val="32"/>
          <w:szCs w:val="32"/>
        </w:rPr>
        <w:t>区（县）国家税务局</w:t>
      </w:r>
    </w:p>
    <w:p w:rsidR="00836CCE" w:rsidRPr="00316457" w:rsidRDefault="00836CCE" w:rsidP="00836CCE">
      <w:pPr>
        <w:snapToGrid w:val="0"/>
        <w:spacing w:line="360" w:lineRule="auto"/>
        <w:jc w:val="right"/>
        <w:rPr>
          <w:rFonts w:eastAsia="仿宋_GB2312"/>
          <w:kern w:val="2"/>
          <w:sz w:val="32"/>
          <w:szCs w:val="32"/>
        </w:rPr>
      </w:pPr>
      <w:r w:rsidRPr="00316457">
        <w:rPr>
          <w:rFonts w:eastAsia="仿宋_GB2312" w:hint="eastAsia"/>
          <w:kern w:val="2"/>
          <w:sz w:val="32"/>
          <w:szCs w:val="32"/>
        </w:rPr>
        <w:t>上海市地方税务局</w:t>
      </w:r>
      <w:r w:rsidRPr="00316457">
        <w:rPr>
          <w:rFonts w:eastAsia="仿宋_GB2312" w:hint="eastAsia"/>
          <w:kern w:val="2"/>
          <w:sz w:val="32"/>
          <w:szCs w:val="32"/>
          <w:u w:val="single"/>
        </w:rPr>
        <w:t xml:space="preserve">    </w:t>
      </w:r>
      <w:r w:rsidRPr="00316457">
        <w:rPr>
          <w:rFonts w:eastAsia="仿宋_GB2312" w:hint="eastAsia"/>
          <w:kern w:val="2"/>
          <w:sz w:val="32"/>
          <w:szCs w:val="32"/>
        </w:rPr>
        <w:t>区（县）分局</w:t>
      </w:r>
      <w:r w:rsidRPr="00316457">
        <w:rPr>
          <w:rFonts w:eastAsia="仿宋_GB2312" w:hint="eastAsia"/>
          <w:kern w:val="2"/>
          <w:sz w:val="32"/>
          <w:szCs w:val="32"/>
        </w:rPr>
        <w:tab/>
      </w:r>
      <w:r w:rsidRPr="00316457">
        <w:rPr>
          <w:rFonts w:eastAsia="仿宋_GB2312" w:hint="eastAsia"/>
          <w:kern w:val="2"/>
          <w:sz w:val="32"/>
          <w:szCs w:val="32"/>
        </w:rPr>
        <w:t>印发</w:t>
      </w:r>
    </w:p>
    <w:p w:rsidR="00836CCE" w:rsidRPr="00315A18" w:rsidRDefault="00836CCE" w:rsidP="00836CCE">
      <w:pPr>
        <w:snapToGrid w:val="0"/>
        <w:spacing w:line="360" w:lineRule="auto"/>
        <w:rPr>
          <w:rFonts w:eastAsia="仿宋_GB2312"/>
          <w:kern w:val="2"/>
          <w:sz w:val="28"/>
          <w:szCs w:val="28"/>
        </w:rPr>
      </w:pPr>
    </w:p>
    <w:tbl>
      <w:tblPr>
        <w:tblpPr w:leftFromText="180" w:rightFromText="180" w:vertAnchor="text" w:horzAnchor="page" w:tblpX="6898" w:tblpY="11"/>
        <w:tblW w:w="0" w:type="auto"/>
        <w:tblLook w:val="00A0"/>
      </w:tblPr>
      <w:tblGrid>
        <w:gridCol w:w="2676"/>
        <w:gridCol w:w="895"/>
        <w:gridCol w:w="895"/>
      </w:tblGrid>
      <w:tr w:rsidR="00836CCE" w:rsidRPr="009C4553" w:rsidTr="00836CCE">
        <w:trPr>
          <w:trHeight w:val="809"/>
        </w:trPr>
        <w:tc>
          <w:tcPr>
            <w:tcW w:w="2676" w:type="dxa"/>
          </w:tcPr>
          <w:p w:rsidR="00836CCE" w:rsidRPr="009C4553" w:rsidRDefault="00836CCE" w:rsidP="00836CCE">
            <w:pPr>
              <w:spacing w:line="276" w:lineRule="auto"/>
              <w:jc w:val="right"/>
              <w:rPr>
                <w:sz w:val="24"/>
                <w:szCs w:val="24"/>
              </w:rPr>
            </w:pPr>
          </w:p>
        </w:tc>
        <w:tc>
          <w:tcPr>
            <w:tcW w:w="895" w:type="dxa"/>
            <w:vMerge w:val="restart"/>
            <w:vAlign w:val="center"/>
          </w:tcPr>
          <w:p w:rsidR="00836CCE" w:rsidRPr="009C4553" w:rsidRDefault="00836CCE" w:rsidP="00836CCE">
            <w:pPr>
              <w:spacing w:line="276" w:lineRule="auto"/>
              <w:jc w:val="center"/>
              <w:rPr>
                <w:sz w:val="24"/>
                <w:szCs w:val="24"/>
              </w:rPr>
            </w:pPr>
          </w:p>
        </w:tc>
        <w:tc>
          <w:tcPr>
            <w:tcW w:w="895" w:type="dxa"/>
            <w:vAlign w:val="center"/>
          </w:tcPr>
          <w:p w:rsidR="00836CCE" w:rsidRPr="009C4553" w:rsidRDefault="00836CCE" w:rsidP="00836CCE">
            <w:pPr>
              <w:spacing w:line="276" w:lineRule="auto"/>
              <w:jc w:val="center"/>
              <w:rPr>
                <w:sz w:val="24"/>
                <w:szCs w:val="24"/>
              </w:rPr>
            </w:pPr>
          </w:p>
        </w:tc>
      </w:tr>
      <w:tr w:rsidR="00836CCE" w:rsidRPr="009C4553" w:rsidTr="00836CCE">
        <w:trPr>
          <w:gridAfter w:val="1"/>
          <w:wAfter w:w="895" w:type="dxa"/>
          <w:trHeight w:val="345"/>
        </w:trPr>
        <w:tc>
          <w:tcPr>
            <w:tcW w:w="2676" w:type="dxa"/>
          </w:tcPr>
          <w:p w:rsidR="00836CCE" w:rsidRPr="009C4553" w:rsidRDefault="00836CCE" w:rsidP="00836CCE">
            <w:pPr>
              <w:spacing w:line="276" w:lineRule="auto"/>
              <w:jc w:val="right"/>
              <w:rPr>
                <w:sz w:val="24"/>
                <w:szCs w:val="24"/>
              </w:rPr>
            </w:pPr>
          </w:p>
        </w:tc>
        <w:tc>
          <w:tcPr>
            <w:tcW w:w="895" w:type="dxa"/>
            <w:vMerge/>
          </w:tcPr>
          <w:p w:rsidR="00836CCE" w:rsidRPr="009C4553" w:rsidRDefault="00836CCE" w:rsidP="00836CCE">
            <w:pPr>
              <w:spacing w:line="276" w:lineRule="auto"/>
              <w:rPr>
                <w:sz w:val="24"/>
                <w:szCs w:val="24"/>
              </w:rPr>
            </w:pPr>
          </w:p>
        </w:tc>
      </w:tr>
    </w:tbl>
    <w:p w:rsidR="006F1BDA" w:rsidRDefault="006F1BDA" w:rsidP="00836CCE"/>
    <w:sectPr w:rsidR="006F1BDA" w:rsidSect="006F1B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EB7" w:rsidRDefault="00332EB7" w:rsidP="00EF5018">
      <w:r>
        <w:separator/>
      </w:r>
    </w:p>
  </w:endnote>
  <w:endnote w:type="continuationSeparator" w:id="1">
    <w:p w:rsidR="00332EB7" w:rsidRDefault="00332EB7" w:rsidP="00EF50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EB7" w:rsidRDefault="00332EB7" w:rsidP="00EF5018">
      <w:r>
        <w:separator/>
      </w:r>
    </w:p>
  </w:footnote>
  <w:footnote w:type="continuationSeparator" w:id="1">
    <w:p w:rsidR="00332EB7" w:rsidRDefault="00332EB7" w:rsidP="00EF50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6CCE"/>
    <w:rsid w:val="00026980"/>
    <w:rsid w:val="000478C3"/>
    <w:rsid w:val="00316457"/>
    <w:rsid w:val="00332EB7"/>
    <w:rsid w:val="00333D1A"/>
    <w:rsid w:val="003C436E"/>
    <w:rsid w:val="006E3103"/>
    <w:rsid w:val="006F1BDA"/>
    <w:rsid w:val="00836CCE"/>
    <w:rsid w:val="00852995"/>
    <w:rsid w:val="00AE3FD7"/>
    <w:rsid w:val="00B010AC"/>
    <w:rsid w:val="00B86310"/>
    <w:rsid w:val="00EF50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CCE"/>
    <w:pPr>
      <w:overflowPunct w:val="0"/>
      <w:autoSpaceDE w:val="0"/>
      <w:autoSpaceDN w:val="0"/>
      <w:adjustRightInd w:val="0"/>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36CCE"/>
    <w:pPr>
      <w:widowControl w:val="0"/>
      <w:overflowPunct/>
      <w:autoSpaceDE/>
      <w:autoSpaceDN/>
      <w:adjustRightInd/>
      <w:textAlignment w:val="auto"/>
    </w:pPr>
    <w:rPr>
      <w:rFonts w:ascii="宋体" w:hAnsi="Courier New" w:cs="Courier New"/>
      <w:kern w:val="2"/>
      <w:szCs w:val="21"/>
    </w:rPr>
  </w:style>
  <w:style w:type="character" w:customStyle="1" w:styleId="Char">
    <w:name w:val="纯文本 Char"/>
    <w:basedOn w:val="a0"/>
    <w:link w:val="a3"/>
    <w:rsid w:val="00836CCE"/>
    <w:rPr>
      <w:rFonts w:ascii="宋体" w:eastAsia="宋体" w:hAnsi="Courier New" w:cs="Courier New"/>
      <w:szCs w:val="21"/>
    </w:rPr>
  </w:style>
  <w:style w:type="paragraph" w:styleId="a4">
    <w:name w:val="header"/>
    <w:basedOn w:val="a"/>
    <w:link w:val="Char0"/>
    <w:uiPriority w:val="99"/>
    <w:semiHidden/>
    <w:unhideWhenUsed/>
    <w:rsid w:val="00EF50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F5018"/>
    <w:rPr>
      <w:rFonts w:ascii="Times New Roman" w:eastAsia="宋体" w:hAnsi="Times New Roman" w:cs="Times New Roman"/>
      <w:kern w:val="0"/>
      <w:sz w:val="18"/>
      <w:szCs w:val="18"/>
    </w:rPr>
  </w:style>
  <w:style w:type="paragraph" w:styleId="a5">
    <w:name w:val="footer"/>
    <w:basedOn w:val="a"/>
    <w:link w:val="Char1"/>
    <w:uiPriority w:val="99"/>
    <w:semiHidden/>
    <w:unhideWhenUsed/>
    <w:rsid w:val="00EF501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F5018"/>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Words>
  <Characters>1048</Characters>
  <Application>Microsoft Office Word</Application>
  <DocSecurity>0</DocSecurity>
  <Lines>8</Lines>
  <Paragraphs>2</Paragraphs>
  <ScaleCrop>false</ScaleCrop>
  <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MiaoLiangYing</dc:creator>
  <cp:keywords/>
  <dc:description/>
  <cp:lastModifiedBy>Lenovo</cp:lastModifiedBy>
  <cp:revision>3</cp:revision>
  <cp:lastPrinted>2015-09-30T00:56:00Z</cp:lastPrinted>
  <dcterms:created xsi:type="dcterms:W3CDTF">2015-09-30T00:56:00Z</dcterms:created>
  <dcterms:modified xsi:type="dcterms:W3CDTF">2015-10-10T01:55:00Z</dcterms:modified>
</cp:coreProperties>
</file>